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4.2.0 -->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804"/>
        <w:gridCol w:w="2268"/>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1417"/>
          <w:jc w:val="center"/>
        </w:trPr>
        <w:tc>
          <w:tcPr>
            <w:tcW w:w="6804" w:type="dxa"/>
            <w:tcBorders>
              <w:top w:val="nil"/>
              <w:left w:val="nil"/>
              <w:bottom w:val="nil"/>
              <w:right w:val="nil"/>
            </w:tcBorders>
            <w:vAlign w:val="center"/>
          </w:tcPr>
          <w:p>
            <w:pPr>
              <w:pStyle w:val="EPName"/>
            </w:pPr>
            <w:r>
              <w:t>Ευρωπαϊκό Κοινοβούλιο</w:t>
            </w:r>
          </w:p>
          <w:p>
            <w:pPr>
              <w:pStyle w:val="EPTerm"/>
              <w:jc w:val="left"/>
            </w:pPr>
            <w:r>
              <w:t>2024-2029</w:t>
            </w:r>
          </w:p>
        </w:tc>
        <w:tc>
          <w:tcPr>
            <w:tcW w:w="2268" w:type="dxa"/>
            <w:tcBorders>
              <w:top w:val="nil"/>
              <w:left w:val="nil"/>
              <w:bottom w:val="nil"/>
              <w:right w:val="nil"/>
            </w:tcBorders>
            <w:vAlign w:val="top"/>
          </w:tcPr>
          <w:p>
            <w:pPr>
              <w:pStyle w:val="EPLog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6pt;height:51.46pt">
                  <v:imagedata r:id="rId5" o:title=""/>
                </v:shape>
              </w:pict>
            </w:r>
          </w:p>
        </w:tc>
      </w:tr>
    </w:tbl>
    <w:p>
      <w:pPr>
        <w:pStyle w:val="LineTop"/>
      </w:pPr>
      <w:r>
        <w:t xml:space="preserve"> </w:t>
      </w:r>
    </w:p>
    <w:p>
      <w:pPr>
        <w:pStyle w:val="EPBody"/>
      </w:pPr>
      <w:r>
        <w:rPr>
          <w:rStyle w:val="HideTWBExt"/>
        </w:rPr>
        <w:t>&lt;Commission&gt;</w:t>
      </w:r>
      <w:r>
        <w:rPr>
          <w:rStyle w:val="HideTWBInt"/>
        </w:rPr>
        <w:t>{AFCO}</w:t>
      </w:r>
      <w:r>
        <w:t>Επιτροπή Συνταγματικών Υποθέσεων</w:t>
      </w:r>
      <w:r>
        <w:rPr>
          <w:rStyle w:val="HideTWBExt"/>
        </w:rPr>
        <w:t>&lt;/Commission&gt;</w:t>
      </w:r>
    </w:p>
    <w:p>
      <w:pPr>
        <w:pStyle w:val="LineBottom"/>
      </w:pPr>
      <w:r>
        <w:t xml:space="preserve"> </w:t>
      </w:r>
    </w:p>
    <w:p>
      <w:pPr>
        <w:pStyle w:val="CoverReference"/>
      </w:pPr>
      <w:r>
        <w:rPr>
          <w:rStyle w:val="HideTWBExt"/>
        </w:rPr>
        <w:t>&lt;RefProc&gt;</w:t>
      </w:r>
      <w:r>
        <w:t>2025/2118</w:t>
      </w:r>
      <w:r>
        <w:rPr>
          <w:rStyle w:val="HideTWBExt"/>
        </w:rPr>
        <w:t>&lt;/RefProc&gt;</w:t>
      </w:r>
      <w:r>
        <w:rPr>
          <w:rStyle w:val="HideTWBExt"/>
        </w:rPr>
        <w:t>&lt;RefTypeProc&gt;</w:t>
      </w:r>
      <w:r>
        <w:t>(INI)</w:t>
      </w:r>
      <w:r>
        <w:rPr>
          <w:rStyle w:val="HideTWBExt"/>
        </w:rPr>
        <w:t>&lt;/RefTypeProc&gt;</w:t>
      </w:r>
    </w:p>
    <w:p>
      <w:pPr>
        <w:pStyle w:val="CoverDate"/>
      </w:pPr>
      <w:r>
        <w:rPr>
          <w:rStyle w:val="HideTWBExt"/>
        </w:rPr>
        <w:t>&lt;Date&gt;</w:t>
      </w:r>
      <w:r>
        <w:rPr>
          <w:rStyle w:val="HideTWBInt"/>
        </w:rPr>
        <w:t>{25/03/2026}</w:t>
      </w:r>
      <w:r>
        <w:t>25.03.2026</w:t>
      </w:r>
      <w:r>
        <w:rPr>
          <w:rStyle w:val="HideTWBExt"/>
        </w:rPr>
        <w:t>&lt;/Date&gt;</w:t>
      </w:r>
    </w:p>
    <w:p>
      <w:pPr>
        <w:pStyle w:val="CoverDocType24a"/>
      </w:pPr>
      <w:r>
        <w:rPr>
          <w:rStyle w:val="HideTWBExt"/>
        </w:rPr>
        <w:t>&lt;TitreType&gt;</w:t>
      </w:r>
      <w:r>
        <w:t>ΣΧΕΔΙΟ ΕΚΘΕΣΗΣ</w:t>
      </w:r>
      <w:r>
        <w:rPr>
          <w:rStyle w:val="HideTWBExt"/>
        </w:rPr>
        <w:t>&lt;/TitreType&gt;</w:t>
      </w:r>
    </w:p>
    <w:p>
      <w:pPr>
        <w:pStyle w:val="CoverNormal"/>
      </w:pPr>
      <w:r>
        <w:rPr>
          <w:rStyle w:val="HideTWBExt"/>
        </w:rPr>
        <w:t>&lt;Titre&gt;</w:t>
      </w:r>
      <w:r>
        <w:t>σχετικά με τις θεσμικές πτυχές της τεχνητής νοημοσύνης στο πλαίσιο της ευρωπαϊκής ολοκλήρωσης</w:t>
      </w:r>
      <w:r>
        <w:rPr>
          <w:rStyle w:val="HideTWBExt"/>
        </w:rPr>
        <w:t>&lt;/Titre&gt;</w:t>
      </w:r>
    </w:p>
    <w:p>
      <w:pPr>
        <w:pStyle w:val="CoverNormal24a"/>
      </w:pPr>
      <w:r>
        <w:rPr>
          <w:rStyle w:val="HideTWBExt"/>
        </w:rPr>
        <w:t>&lt;DocRef&gt;</w:t>
      </w:r>
      <w:r>
        <w:t>(2025/2118(INI))</w:t>
      </w:r>
      <w:r>
        <w:rPr>
          <w:rStyle w:val="HideTWBExt"/>
        </w:rPr>
        <w:t>&lt;/DocRef&gt;</w:t>
      </w:r>
    </w:p>
    <w:p>
      <w:pPr>
        <w:pStyle w:val="CoverNormal24a"/>
      </w:pPr>
      <w:r>
        <w:rPr>
          <w:rStyle w:val="HideTWBExt"/>
        </w:rPr>
        <w:t>&lt;Commission&gt;</w:t>
      </w:r>
      <w:r>
        <w:rPr>
          <w:rStyle w:val="HideTWBInt"/>
        </w:rPr>
        <w:t>{AFCO}</w:t>
      </w:r>
      <w:r>
        <w:t>Επιτροπή Συνταγματικών Υποθέσεων</w:t>
      </w:r>
      <w:r>
        <w:rPr>
          <w:rStyle w:val="HideTWBExt"/>
        </w:rPr>
        <w:t>&lt;/Commission&gt;</w:t>
      </w:r>
    </w:p>
    <w:p>
      <w:pPr>
        <w:pStyle w:val="CoverNormal24a"/>
      </w:pPr>
      <w:r>
        <w:t>Εισηγητής:</w:t>
      </w:r>
      <w:r>
        <w:t xml:space="preserve"> </w:t>
      </w:r>
      <w:r>
        <w:rPr>
          <w:rStyle w:val="HideTWBExt"/>
        </w:rPr>
        <w:t>&lt;Depute&gt;</w:t>
      </w:r>
      <w:r>
        <w:t>Εμμανουήλ Κεφαλογιάννης</w:t>
      </w:r>
      <w:r>
        <w:rPr>
          <w:rStyle w:val="HideTWBExt"/>
        </w:rPr>
        <w:t>&lt;/Depute&gt;</w:t>
      </w:r>
    </w:p>
    <w:p>
      <w:r>
        <w:br w:type="page"/>
      </w:r>
      <w:r>
        <w:t>PR_INI</w:t>
      </w:r>
    </w:p>
    <w:p>
      <w:pPr>
        <w:pStyle w:val="TOCHeading"/>
      </w:pPr>
      <w:r>
        <w:t>ΠΕΡΙΕΧΟΜΕNA</w:t>
      </w:r>
    </w:p>
    <w:p>
      <w:pPr>
        <w:pStyle w:val="TOCPage"/>
      </w:pPr>
      <w:r>
        <w:t>Σελίδα</w:t>
      </w:r>
    </w:p>
    <w:p>
      <w:pPr>
        <w:pStyle w:val="TOC1"/>
        <w:tabs>
          <w:tab w:val="right" w:leader="dot" w:pos="9065"/>
        </w:tabs>
        <w:rPr>
          <w:rFonts w:ascii="Calibri" w:hAnsi="Calibri"/>
          <w:noProof/>
          <w:sz w:val="22"/>
        </w:rPr>
      </w:pPr>
      <w:r>
        <w:fldChar w:fldCharType="begin"/>
      </w:r>
      <w:r>
        <w:instrText xml:space="preserve"> TOC </w:instrText>
      </w:r>
      <w:r>
        <w:instrText xml:space="preserve"> \t</w:instrText>
      </w:r>
      <w:r>
        <w:instrText xml:space="preserve"> </w:instrText>
      </w:r>
      <w:r>
        <w:instrText>PageHeading</w:instrText>
      </w:r>
      <w:r>
        <w:fldChar w:fldCharType="separate"/>
      </w:r>
      <w:r>
        <w:t>ΠΡΟΤΑΣΗ ΨΗΦΙΣΜΑΤΟΣ ΤΟΥ ΕΥΡΩΠΑΪΚΟΥ ΚΟΙΝΟΒΟΥΛΙΟΥ</w:t>
      </w:r>
      <w:r>
        <w:tab/>
      </w:r>
      <w:r>
        <w:fldChar w:fldCharType="begin"/>
      </w:r>
      <w:r>
        <w:instrText xml:space="preserve"> PAGEREF _Toc256000000 \h </w:instrText>
      </w:r>
      <w:r>
        <w:fldChar w:fldCharType="separate"/>
      </w:r>
      <w:r>
        <w:t>3</w:t>
      </w:r>
      <w:r>
        <w:fldChar w:fldCharType="end"/>
      </w:r>
    </w:p>
    <w:p>
      <w:pPr>
        <w:pStyle w:val="TOC1"/>
        <w:tabs>
          <w:tab w:val="right" w:leader="dot" w:pos="9065"/>
        </w:tabs>
        <w:rPr>
          <w:rFonts w:ascii="Calibri" w:hAnsi="Calibri"/>
          <w:noProof/>
          <w:sz w:val="22"/>
        </w:rPr>
      </w:pPr>
      <w:r>
        <w:t>ΑΙΤΙΟΛΟΓΙΚΗ ΕΚΘΕΣΗ</w:t>
      </w:r>
      <w:r>
        <w:tab/>
      </w:r>
      <w:r>
        <w:fldChar w:fldCharType="begin"/>
      </w:r>
      <w:r>
        <w:instrText xml:space="preserve"> PAGEREF _Toc256000001 \h </w:instrText>
      </w:r>
      <w:r>
        <w:fldChar w:fldCharType="separate"/>
      </w:r>
      <w:r>
        <w:t>9</w:t>
      </w:r>
      <w:r>
        <w:fldChar w:fldCharType="end"/>
      </w:r>
    </w:p>
    <w:p>
      <w:pPr>
        <w:pStyle w:val="TOC1"/>
      </w:pPr>
      <w:r>
        <w:fldChar w:fldCharType="end"/>
      </w:r>
    </w:p>
    <w:p>
      <w:r>
        <w:br w:type="page"/>
      </w:r>
    </w:p>
    <w:p>
      <w:pPr>
        <w:pStyle w:val="PageHeading"/>
      </w:pPr>
      <w:bookmarkStart w:id="0" w:name="_Toc256000000"/>
      <w:r>
        <w:t>ΠΡΟΤΑΣΗ ΨΗΦΙΣΜΑΤΟΣ ΤΟΥ ΕΥΡΩΠΑΪΚΟΥ ΚΟΙΝΟΒΟΥΛΙΟΥ</w:t>
      </w:r>
      <w:bookmarkEnd w:id="0"/>
    </w:p>
    <w:p>
      <w:pPr>
        <w:pStyle w:val="NormalBold"/>
      </w:pPr>
      <w:r>
        <w:t>σχετικά με τις θεσμικές πτυχές της τεχνητής νοημοσύνης στο πλαίσιο της ευρωπαϊκής ολοκλήρωσης</w:t>
      </w:r>
    </w:p>
    <w:p>
      <w:pPr>
        <w:pStyle w:val="NormalBold"/>
      </w:pPr>
    </w:p>
    <w:p>
      <w:pPr>
        <w:pStyle w:val="NormalBold12a"/>
      </w:pPr>
      <w:r>
        <w:t>(</w:t>
      </w:r>
      <w:r>
        <w:t>2025/2118(INI)</w:t>
      </w:r>
      <w:r>
        <w:t>)</w:t>
      </w:r>
    </w:p>
    <w:p>
      <w:pPr>
        <w:pStyle w:val="Normal12"/>
      </w:pPr>
      <w:r>
        <w:rPr>
          <w:i/>
        </w:rPr>
        <w:t>Το Ευρωπαϊκό Κοινοβούλιο,</w:t>
      </w:r>
    </w:p>
    <w:p>
      <w:pPr>
        <w:pStyle w:val="NormalHanging"/>
      </w:pPr>
      <w:r>
        <w:t>–</w:t>
      </w:r>
      <w:r>
        <w:tab/>
      </w:r>
      <w:r>
        <w:t>έχοντας υπόψη τη Συνθήκη για την Ευρωπαϊκή Ένωση (ΣΕΕ), και ιδίως τα άρθρα 2, 10, 11, 12, 13 και 14,</w:t>
      </w:r>
    </w:p>
    <w:p>
      <w:pPr>
        <w:pStyle w:val="NormalHanging"/>
      </w:pPr>
      <w:r>
        <w:t>–</w:t>
      </w:r>
      <w:r>
        <w:tab/>
      </w:r>
      <w:r>
        <w:t>έχοντας υπόψη τη Συνθήκη για τη λειτουργία της Ευρωπαϊκής Ένωσης (ΣΛΕΕ), και ιδίως τα άρθρα 16, 114, 173, 179, 180 και 181,</w:t>
      </w:r>
    </w:p>
    <w:p>
      <w:pPr>
        <w:pStyle w:val="NormalHanging"/>
      </w:pPr>
      <w:r>
        <w:t>–</w:t>
      </w:r>
      <w:r>
        <w:tab/>
      </w:r>
      <w:r>
        <w:t>έχοντας υπόψη τον Χάρτη των Θεμελιωδών Δικαιωμάτων της Ευρωπαϊκής Ένωσης,</w:t>
      </w:r>
    </w:p>
    <w:p>
      <w:pPr>
        <w:pStyle w:val="NormalHanging"/>
      </w:pPr>
      <w:r>
        <w:t>–</w:t>
      </w:r>
      <w:r>
        <w:tab/>
      </w:r>
      <w:r>
        <w:t xml:space="preserve">έχοντας υπόψη τη σύμβαση-πλαίσιο του </w:t>
      </w:r>
      <w:r>
        <w:t>Συμβουλίου της Ευρώπης</w:t>
      </w:r>
      <w:r>
        <w:t xml:space="preserve"> σχετικά με την τεχνητή νοημοσύνη και τα ανθρώπινα δικαιώματα, τη δημοκρατία και το κράτος δικαίου, η οποία υπογράφηκε στις 5 Σεπτεμβρίου 2024,</w:t>
      </w:r>
    </w:p>
    <w:p>
      <w:pPr>
        <w:pStyle w:val="NormalHanging"/>
      </w:pPr>
      <w:r>
        <w:t>–</w:t>
      </w:r>
      <w:r>
        <w:tab/>
      </w:r>
      <w:r>
        <w:t xml:space="preserve">έχοντας υπόψη τον κανονισμό (ΕΕ) 2024/1689 του </w:t>
      </w:r>
      <w:r>
        <w:t>Ευρωπαϊκού Κοινοβουλίου</w:t>
      </w:r>
      <w:r>
        <w:t xml:space="preserve"> και του Συμβουλίου, της 13ης Ιουνίου 2024, για τη θέσπιση εναρμονισμένων κανόνων σχετικά με την τεχνητή νοημοσύνη και την τροποποίηση των κανονισμών (ΕΚ) αριθ. 300/2008, (ΕΕ) αριθ. 167/2013, (ΕΕ) αριθ. 168/2013, (ΕΕ) 2018/858, (ΕΕ) 2018/1139 και (ΕΕ) 2019/2144 και των οδηγιών 2014/90/ΕΕ, (ΕΕ) 2016/797 και (ΕΕ) 2020/1828 (κανονισμός για την τεχνητή νοημοσύνη)</w:t>
      </w:r>
      <w:r>
        <w:rPr>
          <w:rStyle w:val="FootnoteReference"/>
        </w:rPr>
        <w:footnoteReference w:customMarkFollows="1" w:id="2"/>
        <w:t xml:space="preserve">1</w:t>
      </w:r>
      <w:r>
        <w:t>,</w:t>
      </w:r>
    </w:p>
    <w:p>
      <w:pPr>
        <w:pStyle w:val="NormalHanging"/>
      </w:pPr>
      <w:r>
        <w:t>–</w:t>
      </w:r>
      <w:r>
        <w:tab/>
      </w:r>
      <w:r>
        <w:t>έχοντας υπόψη την ανακοίνωση της Επιτροπής, της 9ης Απριλίου 2025, με τίτλο «Σχέδιο δράσης για μια ήπειρο ΤΝ» (</w:t>
      </w:r>
      <w:hyperlink r:id="rId6" w:tgtFrame="https://eur-lex.europa.eu/legal-content/EN/ALL/?uri=CELEX:52025DC0165" w:history="1">
        <w:r>
          <w:rPr>
            <w:rStyle w:val="Hyperlink"/>
          </w:rPr>
          <w:t>COM(2025)0165</w:t>
        </w:r>
      </w:hyperlink>
      <w:r>
        <w:t>),</w:t>
      </w:r>
    </w:p>
    <w:p>
      <w:pPr>
        <w:pStyle w:val="NormalHanging"/>
      </w:pPr>
      <w:r>
        <w:t>–</w:t>
      </w:r>
      <w:r>
        <w:tab/>
      </w:r>
      <w:r>
        <w:t>έχοντας υπόψη την ανακοίνωση της Επιτροπής, της 8ης Οκτωβρίου 2025, με τίτλο «Στρατηγική για την εφαρμογή της ΤΝ» (</w:t>
      </w:r>
      <w:hyperlink r:id="rId7" w:tgtFrame="https://eur-lex.europa.eu/legal-content/EN/ALL/?uri=CELEX:52025DC0723" w:history="1">
        <w:r>
          <w:rPr>
            <w:rStyle w:val="Hyperlink"/>
          </w:rPr>
          <w:t>COM(2022)0723</w:t>
        </w:r>
      </w:hyperlink>
      <w:r>
        <w:t>),</w:t>
      </w:r>
    </w:p>
    <w:p>
      <w:pPr>
        <w:pStyle w:val="NormalHanging"/>
      </w:pPr>
      <w:r>
        <w:t>–</w:t>
      </w:r>
      <w:r>
        <w:tab/>
      </w:r>
      <w:r>
        <w:t>έχοντας υπόψη τα συμπεράσματα του Συμβουλίου, της 21ης Μαΐου 2024 σχετικά με το μέλλον της ψηφιακής πολιτικής της ΕΕ,</w:t>
      </w:r>
    </w:p>
    <w:p>
      <w:pPr>
        <w:pStyle w:val="NormalHanging"/>
      </w:pPr>
      <w:r>
        <w:t>–</w:t>
      </w:r>
      <w:r>
        <w:tab/>
      </w:r>
      <w:r>
        <w:t>έχοντας υπόψη τα συμπεράσματα του Συμβουλίου, της 20ής Νοεμβρίου 2025 σχετικά με την προώθηση της διεθνούς ψηφιακής στρατηγικής για την Ευρωπαϊκή Ένωση,</w:t>
      </w:r>
    </w:p>
    <w:p>
      <w:pPr>
        <w:pStyle w:val="NormalHanging"/>
      </w:pPr>
      <w:r>
        <w:t>–</w:t>
      </w:r>
      <w:r>
        <w:tab/>
      </w:r>
      <w:r>
        <w:t>έχοντας υπόψη την ετήσια παγκόσμια σύνοδο κορυφής των Ηνωμένων Εθνών με τίτλο «AI for Good», ένα παγκόσμιο φόρουμ διαλόγου σχετικά με τη διακυβέρνηση, τη δεοντολογική χρήση και τον κοινωνικό αντίκτυπο της τεχνητής νοημοσύνης,</w:t>
      </w:r>
    </w:p>
    <w:p>
      <w:pPr>
        <w:pStyle w:val="NormalHanging"/>
      </w:pPr>
      <w:r>
        <w:t>–</w:t>
      </w:r>
      <w:r>
        <w:tab/>
      </w:r>
      <w:r>
        <w:t>έχοντας υπόψη το παράρτημα VI του Κανονισμού του,</w:t>
      </w:r>
    </w:p>
    <w:p>
      <w:pPr>
        <w:pStyle w:val="NormalHanging"/>
      </w:pPr>
      <w:r>
        <w:t>–</w:t>
      </w:r>
      <w:r>
        <w:tab/>
      </w:r>
      <w:r>
        <w:t>έχοντας υπόψη το άρθρο 55 του Κανονισμού του,</w:t>
      </w:r>
    </w:p>
    <w:p>
      <w:pPr>
        <w:pStyle w:val="NormalHanging"/>
      </w:pPr>
      <w:r>
        <w:t>–</w:t>
      </w:r>
      <w:r>
        <w:tab/>
      </w:r>
      <w:r>
        <w:t>έχοντας υπόψη τις γνωμοδοτήσεις της Επιτροπής Εσωτερικής Αγοράς και Προστασίας των Καταναλωτών και της Επιτροπής Πολιτικών Ελευθεριών, Δικαιοσύνης και Εσωτερικών Υποθέσεων,</w:t>
      </w:r>
    </w:p>
    <w:p>
      <w:pPr>
        <w:pStyle w:val="NormalHanging"/>
      </w:pPr>
      <w:r>
        <w:t>–</w:t>
      </w:r>
      <w:r>
        <w:tab/>
      </w:r>
      <w:r>
        <w:t>έχοντας υπόψη την έκθεση της Επιτροπής Συνταγματικών Υποθέσεων (A10-0000/2026),</w:t>
      </w:r>
    </w:p>
    <w:p>
      <w:pPr>
        <w:pStyle w:val="NormalHanging"/>
      </w:pPr>
      <w:r>
        <w:t>A.</w:t>
      </w:r>
      <w:r>
        <w:tab/>
      </w:r>
      <w:r>
        <w:t>λαμβάνοντας υπόψη ότι το άρθρο 2 ΣΕΕ αναφέρεται στη συνταγματική ταυτότητα της ΕΕ και νομιμοποιεί τον έλεγχο της τεχνητής νοημοσύνης (ΤΝ) από το Κοινοβούλιο, όταν η εφαρμογή της μπορεί να επηρεάσει βασικές αξίες·</w:t>
      </w:r>
    </w:p>
    <w:p>
      <w:pPr>
        <w:pStyle w:val="NormalHanging"/>
      </w:pPr>
      <w:r>
        <w:t>B.</w:t>
      </w:r>
      <w:r>
        <w:tab/>
      </w:r>
      <w:r>
        <w:t>λαμβάνοντας υπόψη ότι, σύμφωνα με τα άρθρα 10, 11 και 14 ΣΕΕ, το Κοινοβούλιο φέρει ειδική ευθύνη για τη διασφάλιση της δημοκρατικής λογοδοσίας, της διαφάνειας και του αποτελεσματικού ελέγχου των τεχνολογικών εξελίξεων που επηρεάζουν τη λειτουργία των θεσμικών οργάνων της ΕΕ·  λαμβάνοντας υπόψη ότι η ασφαλής, δεοντολογική και νόμιμη ανάπτυξη και εφαρμογή της ΤΝ απαιτεί ισχυρά πλαίσια διακυβέρνησης βασισμένα στις Συνθήκες της ΕΕ·</w:t>
      </w:r>
    </w:p>
    <w:p>
      <w:pPr>
        <w:pStyle w:val="NormalHanging"/>
      </w:pPr>
      <w:r>
        <w:t>Γ.</w:t>
      </w:r>
      <w:r>
        <w:tab/>
      </w:r>
      <w:r>
        <w:t>λαμβάνοντας υπόψη ότι με την πράξη για την τεχνητή νοημοσύνη</w:t>
      </w:r>
      <w:r>
        <w:rPr>
          <w:b/>
          <w:i/>
        </w:rPr>
        <w:t xml:space="preserve"> </w:t>
      </w:r>
      <w:r>
        <w:t xml:space="preserve"> θεσπίζεται το πρώτο ολοκληρωμένο ρυθμιστικό πλαίσιο για την ΤΝ στον κόσμο· λαμβάνοντας υπόψη ότι η ΤΝ προχωρά με πρωτοφανή ρυθμό, αναδιαμορφώνοντας την οικονομική δραστηριότητα, τη δημόσια διοίκηση και τις κοινωνικές αλληλεπιδράσεις·</w:t>
      </w:r>
    </w:p>
    <w:p>
      <w:pPr>
        <w:pStyle w:val="NormalHanging"/>
      </w:pPr>
      <w:r>
        <w:t>Δ.</w:t>
      </w:r>
      <w:r>
        <w:tab/>
      </w:r>
      <w:r>
        <w:t>λαμβάνοντας υπόψη ότι το Παγκόσμιο Ψηφιακό Σύμφωνο των Ηνωμένων Εθνών ζητεί ενισχυμένη διεθνή συνεργασία για τη διακυβέρνηση της ΤΝ και επισημαίνει τον ρόλο των παγκόσμιων φόρουμ στη διευκόλυνση του διαλόγου σχετικά με τις κοινωνικές και δεοντολογικές επιπτώσεις της ΤΝ·</w:t>
      </w:r>
    </w:p>
    <w:p>
      <w:pPr>
        <w:pStyle w:val="NormalHanging"/>
      </w:pPr>
      <w:r>
        <w:t>Ε.</w:t>
      </w:r>
      <w:r>
        <w:tab/>
      </w:r>
      <w:r>
        <w:t>λαμβάνοντας υπόψη ότι το Κοινοβούλιο, ως το αντιπροσωπευτικό δημοκρατικό θεσμικό όργανο της ΕΕ, έχει ως νόμιμο ρόλο να συμβάλει σε αυτές τις παγκόσμιες συζητήσεις, σύμφωνα με τα άρθρα 10, 11 και 13 ΣΕΕ, και είναι υπεύθυνο να διασφαλίσει τη δημοκρατική λογοδοσία και τη θεσμική συνοχή στην εξωτερική δέσμευση της ΕΕ·</w:t>
      </w:r>
    </w:p>
    <w:p>
      <w:pPr>
        <w:pStyle w:val="NormalHanging"/>
      </w:pPr>
      <w:r>
        <w:t>ΣΤ.</w:t>
      </w:r>
      <w:r>
        <w:tab/>
      </w:r>
      <w:r>
        <w:t xml:space="preserve">λαμβάνοντας υπόψη ότι το Κοινοβούλιο θα πρέπει να συμμετέχει στις ετήσιες συνόδους κορυφής του ΟΗΕ για την ΤΝ, διοργανώνοντας ειδικές εκδηλώσεις και παρουσιάζοντας το έργο του σε αυτόν τον τομέα, συμπεριλαμβανομένης της συνεργασίας με άλλους φορείς που δραστηριοποιούνται στον τομέα, όπως το παρατηρητήριο πολιτικής του Οργανισμού Οικονομικής Συνεργασίας και Ανάπτυξης για την ΤΝ, η διευθύνουσα επιτροπή του </w:t>
      </w:r>
      <w:r>
        <w:t>Συμβουλίου της Ευρώπης</w:t>
      </w:r>
      <w:r>
        <w:t xml:space="preserve"> για τις νέες και αναδυόμενες ψηφιακές τεχνολογίες και οι πρωτοβουλίες της G7 και της G20 που σχετίζονται με την ΤΝ· λαμβάνοντας υπόψη ότι η συμμετοχή του Κοινοβουλίου σε αυτά τα φόρουμ θα ήταν σύμφωνη με την αρχή της καλόπιστης συνεργασίας, όπως ορίζεται στο άρθρο 13 παράγραφος 2 ΣΕΕ·</w:t>
      </w:r>
    </w:p>
    <w:p>
      <w:pPr>
        <w:pStyle w:val="NormalHanging"/>
      </w:pPr>
      <w:r>
        <w:t>Ζ.</w:t>
      </w:r>
      <w:r>
        <w:tab/>
      </w:r>
      <w:r>
        <w:t>λαμβάνοντας υπόψη ότι στα συμπεράσματα του Συμβουλίου της 20ής Νοεμβρίου 2025 σχετικά με την προώθηση της διεθνούς ψηφιακής στρατηγικής για την Ευρωπαϊκή Ένωση τονίζεται ότι η ψηφιακή πολιτική και η πολιτική για την ΤΝ έχουν εξελιχθεί σε βασικές συνιστώσες της εξωτερικής δράσης της ΕΕ·</w:t>
      </w:r>
    </w:p>
    <w:p>
      <w:pPr>
        <w:pStyle w:val="NormalHanging"/>
      </w:pPr>
      <w:r>
        <w:t>Η.</w:t>
      </w:r>
      <w:r>
        <w:tab/>
      </w:r>
      <w:r>
        <w:t xml:space="preserve">λαμβάνοντας υπόψη ότι η παρακολούθηση των παγκόσμιων εξελίξεων στον τομέα της ΤΝ σε επίπεδο ΕΕ, σε στενή συνεργασία με την Υπηρεσία ΤΝ της Επιτροπής, το Ευρωπαϊκό Συμβούλιο Τεχνητής Νοημοσύνης (συμβούλιο ΤΝ) και τις εθνικές αρμόδιες αρχές, η παρακολούθηση των εξελίξεων στα κράτη μέλη, η διατήρηση τακτικών ανταλλαγών με τα εθνικά κοινοβούλια και ο εντοπισμός πιθανών διατομεακών αλληλοεπικαλύψεων και κενών στο νομικό πλαίσιο της ΕΕ για την ΤΝ θα αποτελέσουν εξαιρετικά σημαντικά ζητήματα· λαμβάνοντας υπόψη ότι το προτεινόμενο Παρατηρητήριο ΤΝ του </w:t>
      </w:r>
      <w:r>
        <w:t>Ευρωπαϊκού Κοινοβουλίου</w:t>
      </w:r>
      <w:r>
        <w:t xml:space="preserve"> θα πρέπει να διαδραματίσει κεντρικό ρόλο εν προκειμένω·</w:t>
      </w:r>
    </w:p>
    <w:p>
      <w:pPr>
        <w:pStyle w:val="NormalHanging"/>
      </w:pPr>
      <w:r>
        <w:t>Θ.</w:t>
      </w:r>
      <w:r>
        <w:tab/>
      </w:r>
      <w:r>
        <w:t xml:space="preserve">λαμβάνοντας υπόψη ότι το προτεινόμενο Παρατηρητήριο ΤΝ του </w:t>
      </w:r>
      <w:r>
        <w:t>Ευρωπαϊκού Κοινοβουλίου</w:t>
      </w:r>
      <w:r>
        <w:t xml:space="preserve"> θα μπορούσε να χαρακτηριστεί ως όργανο της ΕΕ που μπορεί να προσκαλείται στις συνεδριάσεις του συμβουλίου ΤΝ, σύμφωνα με το άρθρο 65 παράγραφος 2 της πράξης για την τεχνητή νοημοσύνη·</w:t>
      </w:r>
    </w:p>
    <w:p>
      <w:pPr>
        <w:pStyle w:val="NormalHanging"/>
      </w:pPr>
      <w:r>
        <w:t>Ι.</w:t>
      </w:r>
      <w:r>
        <w:tab/>
      </w:r>
      <w:r>
        <w:t>λαμβάνοντας υπόψη ότι η ΤΝ μπορεί να στηρίξει τον κοινοβουλευτικό έλεγχο της υλοποίησης και της εφαρμογής του δικαίου της ΕΕ, μειώνοντας τις ασυμμετρίες πληροφόρησης και μετριάζοντας τις επαναλαμβανόμενες δυσκολίες που αντιμετωπίζει το Κοινοβούλιο όσον αφορά την πρόσβαση στα σχετικά δεδομένα, καθώς και συμβάλλοντας στη βελτίωση των νομοθετικών διαδικασιών της ΕΕ·</w:t>
      </w:r>
    </w:p>
    <w:p>
      <w:pPr>
        <w:pStyle w:val="NormalHanging"/>
      </w:pPr>
      <w:r>
        <w:t>ΙΑ.</w:t>
      </w:r>
      <w:r>
        <w:tab/>
      </w:r>
      <w:r>
        <w:t>λαμβάνοντας υπόψη ότι η ταχεία εξέλιξη των τεχνολογιών ΤΝ απαιτεί συνεχή αναλυτική ικανότητα προκειμένου να αξιολογούνται οι θεσμικές, δημοκρατικές και νομικές επιπτώσεις τους στη λειτουργία της ΕΕ·  λαμβάνοντας υπόψη ότι το Κοινοβούλιο θα πρέπει, για τον λόγο αυτό, να ενισχύσει την εσωτερική εμπειρογνωσία του και τις ικανότητες παρακολούθησης σε αυτόν τον τομέα·</w:t>
      </w:r>
    </w:p>
    <w:p>
      <w:pPr>
        <w:pStyle w:val="NormalHanging"/>
      </w:pPr>
      <w:r>
        <w:t>ΙΒ.</w:t>
      </w:r>
      <w:r>
        <w:tab/>
      </w:r>
      <w:r>
        <w:t>λαμβάνοντας υπόψη ότι η ταχεία ανάπτυξη τεχνολογιών ΤΝ μετασχηματίζει ριζικά τις προεκλογικές εκστρατείες και την πολιτική επικοινωνία·  λαμβάνοντας υπόψη ότι οι τεχνολογίες αυτές ενδέχεται να επηρεάσουν την ακεραιότητα των εκλογικών διαδικασιών και να υπονομεύσουν την εμπιστοσύνη στους δημοκρατικούς θεσμούς, μεταξύ άλλων στο πλαίσιο των ευρωπαϊκών εκλογών·</w:t>
      </w:r>
    </w:p>
    <w:p>
      <w:pPr>
        <w:pStyle w:val="NormalHanging"/>
      </w:pPr>
      <w:r>
        <w:t>ΙΓ.</w:t>
      </w:r>
      <w:r>
        <w:tab/>
      </w:r>
      <w:r>
        <w:t>λαμβάνοντας υπόψη ότι, προκειμένου να διασφαλιστεί ότι η αρχιτεκτονική διακυβέρνησης της ΕΕ θα παραμείνει συνεκτική, διαφανής, δημοκρατικά νόμιμη και ικανή να ανταποκρίνεται αποτελεσματικά στις αναδυόμενες προκλήσεις στον τομέα της ΤΝ, ενδέχεται να χρειαστεί διαρθρωμένος και συμπεριληπτικός προβληματισμός σχετικά με πιθανή μεταρρύθμιση των Συνθηκών μεσοπρόθεσμα και μακροπρόθεσμα·</w:t>
      </w:r>
    </w:p>
    <w:p>
      <w:pPr>
        <w:pStyle w:val="NormalHanging12a"/>
      </w:pPr>
      <w:r>
        <w:t>1.</w:t>
      </w:r>
      <w:r>
        <w:tab/>
      </w:r>
      <w:r>
        <w:t>τονίζει ότι η διακυβέρνηση της ΤΝ δεν αποτελεί μόνο ζήτημα τεχνικής ρύθμισης, αλλά και ζήτημα συνταγματικής εφαρμοσιμότητας, δεδομένου ότι επηρεάζει την άσκηση δημόσιας εξουσίας, τη δημοκρατική νομιμότητα και τη θεσμική ισορροπία της ΕΕ, όπως ορίζεται στο άρθρο 13 ΣΕΕ, και, κατά συνέπεια, απαιτεί διαρκή κοινοβουλευτικό έλεγχο εντός του πεδίου αρμοδιότητας του Κοινοβουλίου·</w:t>
      </w:r>
    </w:p>
    <w:p>
      <w:pPr>
        <w:pStyle w:val="NormalHanging12a"/>
      </w:pPr>
      <w:r>
        <w:t>2.</w:t>
      </w:r>
      <w:r>
        <w:tab/>
      </w:r>
      <w:r>
        <w:t>επαναβεβαιώνει ότι η προσέγγιση της ΕΕ όσον αφορά την ΤΝ πρέπει να είναι απόλυτα ευθυγραμμισμένη με τις αξίες που προβλέπονται στο άρθρο 2 ΣΕΕ, συμπεριλαμβανομένων της δημοκρατίας, του κράτους δικαίου και των θεμελιωδών δικαιωμάτων, και ότι η ανάπτυξη της ΤΝ εντός των θεσμικών οργάνων πρέπει να παραμείνει ανθρωποκεντρική·</w:t>
      </w:r>
    </w:p>
    <w:p>
      <w:pPr>
        <w:pStyle w:val="NormalHanging12a"/>
      </w:pPr>
      <w:r>
        <w:t>3.</w:t>
      </w:r>
      <w:r>
        <w:tab/>
      </w:r>
      <w:r>
        <w:t>υπενθυμίζει τα συμπεράσματα του Συμβουλίου που ζητούν ισχυρότερη φιλοδοξία, επενδύσεις και συνεργασία της ΕΕ στον τομέα της ΤΝ, μεταξύ άλλων με διεθνείς οργανισμούς· θεωρεί ότι το Κοινοβούλιο θα πρέπει να έχει ισχυρότερη θεσμική ικανότητα για να ελέγχει την παγκόσμια δέσμευση της ΕΕ στον τομέα της ΤΝ και τις επιπτώσεις της στην κυριαρχία και τη δημοκρατική λογοδοσία της ΕΕ·</w:t>
      </w:r>
    </w:p>
    <w:p>
      <w:pPr>
        <w:pStyle w:val="NormalHanging12a"/>
      </w:pPr>
      <w:r>
        <w:t>4.</w:t>
      </w:r>
      <w:r>
        <w:tab/>
      </w:r>
      <w:r>
        <w:t>ζητεί διαρθρωμένο και τακτικό διοργανικό διάλογο μεταξύ του Κοινοβουλίου, της Επιτροπής και του Συμβουλίου σχετικά με τις θεσμικές επιπτώσεις της ΤΝ·</w:t>
      </w:r>
    </w:p>
    <w:p>
      <w:pPr>
        <w:pStyle w:val="NormalHanging12a"/>
      </w:pPr>
      <w:r>
        <w:t>5.</w:t>
      </w:r>
      <w:r>
        <w:tab/>
      </w:r>
      <w:r>
        <w:t>τονίζει ότι η αυξανόμενη συμμετοχή της ΕΕ στη διεθνή ψηφιακή διακυβέρνηση και τη διακυβέρνηση της ΤΝ, συμπεριλαμβανομένων των εταιρικών σχέσεων, των πολυμερών πρωτοβουλιών και του καθορισμού παγκόσμιων προτύπων, έχει θεσμικές επιπτώσεις·</w:t>
      </w:r>
    </w:p>
    <w:p>
      <w:pPr>
        <w:pStyle w:val="NormalHanging12a"/>
      </w:pPr>
      <w:r>
        <w:t>6.</w:t>
      </w:r>
      <w:r>
        <w:tab/>
      </w:r>
      <w:r>
        <w:t>τονίζει τη σημασία της κοινοβουλευτικής συμμετοχής στις συζητήσεις για την παγκόσμια διακυβέρνηση της ΤΝ και, κατά συνέπεια, υποστηρίζει θερμά τη συμμετοχή του Κοινοβουλίου σε πολυμερή φόρουμ, όπως η ετήσια σύνοδος κορυφής των Ηνωμένων Εθνών με τίτλο «AI for Good»·  αναγνωρίζει ότι, συμμετέχοντας σε παγκόσμιο επίπεδο με ένα σαφές σύνολο αξιών και δεοντολογικών αρχών, το Κοινοβούλιο ενισχύει τον δημοκρατικό ρόλο και την αξιοπιστία του, με πλήρη σεβασμό των αρμοδιοτήτων της Επιτροπής στον τομέα και σύμφωνα με την αρχή της καλόπιστης συνεργασίας, όπως ορίζεται στο άρθρο 13 παράγραφος 2 ΣΕΕ·</w:t>
      </w:r>
    </w:p>
    <w:p>
      <w:pPr>
        <w:pStyle w:val="NormalHanging12a"/>
      </w:pPr>
      <w:r>
        <w:t>7.</w:t>
      </w:r>
      <w:r>
        <w:tab/>
      </w:r>
      <w:r>
        <w:t>υπογραμμίζει ότι, σε μία εποχή έντονου γεωπολιτικού ανταγωνισμού, η συμμετοχή του Κοινοβουλίου σε διεθνή φόρουμ έχει ουσιαστική σημασία· τονίζει ότι οι πρακτικές και οι τεχνολογίες ΤΝ που κοινοποιούνται εξωτερικά πρέπει να συμμορφώνονται με τις δεσμεύσεις του Κοινοβουλίου για διαφάνεια, βιωσιμότητα, προστασία των δεδομένων και δημοκρατική εποπτεία·  τονίζει, επιπλέον, ότι είναι σημαντικό να αντιμετωπιστούν οι συστημικοί κίνδυνοι που συνδέονται με την ΤΝ, συμπεριλαμβανομένων της διάδοσης των λεγόμενων ψευδαισθήσεων, οι οποίες ενδέχεται να υπονομεύσουν την ακρίβεια και την αξιοπιστία των πληροφοριών, καθώς και του δυνητικού κοινωνικοοικονομικού αντικτύπου της ΤΝ, ιδίως όσον αφορά την εκτόπιση θέσεων εργασίας, αντί να προωθηθεί απλώς η τεχνολογική αριστεία·</w:t>
      </w:r>
    </w:p>
    <w:p>
      <w:pPr>
        <w:pStyle w:val="NormalHanging12a"/>
      </w:pPr>
      <w:r>
        <w:t>8.</w:t>
      </w:r>
      <w:r>
        <w:tab/>
      </w:r>
      <w:r>
        <w:t>υπογραμμίζει ότι η ΤΝ, λόγω της κλίμακας, της ταχύτητας και του διασυνοριακού αντικτύπου της, συνιστά συστημική παγκόσμια πρόκληση και ότι, όπως και στην περίπτωση των προηγούμενων μετασχηματιστικών τεχνολογιών, συμπεριλαμβανομένης της πυρηνικής τεχνολογίας στα μέσα του 20ού αιώνα, η υπεύθυνη διακυβέρνηση απαιτεί την έγκαιρη διαπραγμάτευση και θέσπιση ειδικής διεθνούς σύμβασης ή συνθήκης για την ΤΝ σε παγκόσμιο επίπεδο·</w:t>
      </w:r>
    </w:p>
    <w:p>
      <w:pPr>
        <w:pStyle w:val="NormalHanging12a"/>
      </w:pPr>
      <w:r>
        <w:t>9.</w:t>
      </w:r>
      <w:r>
        <w:tab/>
      </w:r>
      <w:r>
        <w:t xml:space="preserve">λαμβάνει υπό σημείωση τη σύμβαση-πλαίσιο του </w:t>
      </w:r>
      <w:r>
        <w:t>Συμβουλίου της Ευρώπης</w:t>
      </w:r>
      <w:r>
        <w:t xml:space="preserve"> για την τεχνητή νοημοσύνη·  θεωρεί ότι, δεδομένου του παγκόσμιου συστημικού χαρακτήρα των τεχνολογιών ΤΝ, θα πρέπει να εξεταστεί περαιτέρω η θέσπιση παγκόσμιου πολυμερούς πλαισίου ή σύμβασης με στόχο την πρόληψη των συστημικών κινδύνων και τη διασφάλιση της δημοκρατικής λογοδοσίας σε παγκόσμιο επίπεδο·</w:t>
      </w:r>
    </w:p>
    <w:p>
      <w:pPr>
        <w:pStyle w:val="NormalHanging12a"/>
      </w:pPr>
      <w:r>
        <w:t>10.</w:t>
      </w:r>
      <w:r>
        <w:tab/>
      </w:r>
      <w:r>
        <w:t>υπενθυμίζει ότι, σύμφωνα με τα άρθρα 10, 13 και 14 ΣΕΕ, το Κοινοβούλιο ασκεί δημοκρατικό έλεγχο στη λειτουργία της ΕΕ και των θεσμικών οργάνων της· τονίζει ότι η αυξανόμενη ανάπτυξη συστημάτων ΤΝ στις δημόσιες διοικήσεις και στα θεσμικά όργανα της ΕΕ απαιτεί την ενίσχυση της αναλυτικής ικανότητας του Κοινοβουλίου, προκειμένου να διασφαλίζονται η διαφάνεια, η δημοκρατική λογοδοσία και η αποτελεσματική εποπτεία σύμφωνα με τις Συνθήκες·</w:t>
      </w:r>
    </w:p>
    <w:p>
      <w:pPr>
        <w:pStyle w:val="NormalHanging12a"/>
      </w:pPr>
      <w:r>
        <w:t>11.</w:t>
      </w:r>
      <w:r>
        <w:tab/>
      </w:r>
      <w:r>
        <w:t xml:space="preserve">ζητεί τη δημιουργία Παρατηρητηρίου ΤΝ του </w:t>
      </w:r>
      <w:r>
        <w:t>Ευρωπαϊκού Κοινοβουλίου</w:t>
      </w:r>
      <w:r>
        <w:t xml:space="preserve"> ως μόνιμης αναλυτικής δομής στους κόλπους της διοίκησης του Κοινοβουλίου, το οποίο θα λειτουργεί ως υπηρεσία σε όλες τις κοινοβουλευτικές επιτροπές για την υποστήριξή τους σε θέματα που σχετίζονται με την ΤΝ, τη διακυβέρνησή της, τη θεσμική ισορροπία και τη δημοκρατική εποπτεία· τονίζει ότι η δημιουργία αυτή της ικανότητας θα μπορούσε να οργανωθεί στο πλαίσιο των διοικητικών δομών του Κοινοβουλίου με δημοσιονομικά ουδέτερο τρόπο και με βάση την υφιστάμενη εμπειρογνωσία και τις υφιστάμενες υπηρεσίες·</w:t>
      </w:r>
    </w:p>
    <w:p>
      <w:pPr>
        <w:pStyle w:val="NormalHanging12a"/>
      </w:pPr>
      <w:r>
        <w:t>12.</w:t>
      </w:r>
      <w:r>
        <w:tab/>
      </w:r>
      <w:r>
        <w:t>τονίζει ότι η αυξανόμενη ανάπτυξη συστημάτων ΤΝ στις δημόσιες διοικήσεις, συμπεριλαμβανομένων των θεσμικών οργάνων της ΕΕ, εγείρει σημαντικά ερωτήματα σχετικά με τη διαφάνεια, τη λογοδοσία και τη δέουσα διοικητική διαδικασία· τονίζει ότι το Κοινοβούλιο θα πρέπει να διατηρήσει επαρκή εσωτερική αναλυτική ικανότητα για την ανεξάρτητη αξιολόγηση των εν λόγω εξελίξεων, προκειμένου να διαφυλάξει τα θεσμικά προνόμια και τις εποπτικές λειτουργίες του και να οικοδομήσει τη δική του θεσμική μνήμη σε αυτόν τον τομέα·</w:t>
      </w:r>
    </w:p>
    <w:p>
      <w:pPr>
        <w:pStyle w:val="NormalHanging12a"/>
      </w:pPr>
      <w:r>
        <w:t>13.</w:t>
      </w:r>
      <w:r>
        <w:tab/>
      </w:r>
      <w:r>
        <w:t>ζητεί τη χρήση εργαλείων ΤΝ για τη στήριξη της παρακολούθησης και της εφαρμογής της νομοθεσίας της ΕΕ που έχει ήδη εγκριθεί, ιδίως με τον εντοπισμό εθνικών και περιφερειακών νομικών πράξεων που απαιτούν τροποποίηση και με τον εντοπισμό πιθανών ασυνεπειών, αλληλοεπικαλύψεων ή κινδύνων νομικού κατακερματισμού, ώστε να ενισχυθεί με αυτόν τον τρόπο η νομική συνοχή σε όλα τα επίπεδα διακυβέρνησης, να αντιμετωπιστούν τα κενά εφαρμογής στα κράτη μέλη και να βελτιωθούν η αποτελεσματικότητα και η προβλεψιμότητα του δικαίου της ΕΕ· τονίζει, στο πλαίσιο αυτό, τη σημασία μιας ανθρωποκεντρικής προσέγγισης όταν χρησιμοποιούνται τέτοια εργαλεία·</w:t>
      </w:r>
    </w:p>
    <w:p>
      <w:pPr>
        <w:pStyle w:val="NormalHanging12a"/>
      </w:pPr>
      <w:r>
        <w:t>14.</w:t>
      </w:r>
      <w:r>
        <w:tab/>
      </w:r>
      <w:r>
        <w:t>ζητεί να αναλυθούν οι αλληλοεπικαλύψεις, τα κενά και οι ασυνέπειες μεταξύ των πολυάριθμων νομοθετικών μέσων και μέσων πολιτικής που σχετίζονται με την ΤΝ και της εφαρμογής τους, προκειμένου να μειωθεί ο κατακερματισμός και να διασφαλιστεί η συνεκτική εφαρμογή σε όλα τα τομεακά πεδία, συμπεριλαμβανομένης της συνεκτικής θεσμικής εφαρμογής·</w:t>
      </w:r>
    </w:p>
    <w:p>
      <w:pPr>
        <w:pStyle w:val="NormalHanging12a"/>
      </w:pPr>
      <w:r>
        <w:t>15.</w:t>
      </w:r>
      <w:r>
        <w:tab/>
      </w:r>
      <w:r>
        <w:t xml:space="preserve">τονίζει ότι το αναλυτικό έργο που πραγματοποιείται στο Κοινοβούλιο, μεταξύ άλλων από το προτεινόμενο Παρατηρητήριο ΤΝ του </w:t>
      </w:r>
      <w:r>
        <w:t>Ευρωπαϊκού Κοινοβουλίου</w:t>
      </w:r>
      <w:r>
        <w:t>, θα μπορούσε να συμβάλει στον εντοπισμό διατομεακών κενών, αλληλοεπικαλύψεων και ασυνεπειών στο ευρύτερο νομικό πλαίσιο της ΕΕ για την ΤΝ·</w:t>
      </w:r>
    </w:p>
    <w:p>
      <w:pPr>
        <w:pStyle w:val="NormalHanging12a"/>
      </w:pPr>
      <w:r>
        <w:t>16.</w:t>
      </w:r>
      <w:r>
        <w:tab/>
      </w:r>
      <w:r>
        <w:t xml:space="preserve">τονίζει ότι το Παρατηρητήριο ΤΝ του </w:t>
      </w:r>
      <w:r>
        <w:t>Ευρωπαϊκού Κοινοβουλίου</w:t>
      </w:r>
      <w:r>
        <w:t xml:space="preserve"> θα μπορούσε να συμβάλει στην παρακολούθηση της θεσμικής διακυβέρνησης της ΤΝ, της λογοδοσίας και της εξηγησιμότητας, καθώς και των επιπτώσεων των συστημάτων ΤΝ που αναπτύσσονται εντός του θεσμικού οργάνου, και θα μπορούσε να στηρίξει τη συνέχεια που θα δώσει το Κοινοβούλιο στα σχετικά συμπεράσματα του Συμβουλίου·</w:t>
      </w:r>
    </w:p>
    <w:p>
      <w:pPr>
        <w:pStyle w:val="NormalHanging12a"/>
      </w:pPr>
      <w:r>
        <w:t>17.</w:t>
      </w:r>
      <w:r>
        <w:tab/>
      </w:r>
      <w:r>
        <w:t xml:space="preserve">καλεί τον πρόεδρο του συμβουλίου για την ΤΝ να προσκαλεί το Παρατηρητήριο ΤΝ του </w:t>
      </w:r>
      <w:r>
        <w:t>Ευρωπαϊκού Κοινοβουλίου</w:t>
      </w:r>
      <w:r>
        <w:t>, μόλις συσταθεί, στις συνεδριάσεις του συμβουλίου, ώστε να διασφαλίζεται ο κοινοβουλευτικός έλεγχος και η διοργανική συνοχή στην πολιτική της ΕΕ για την ΤΝ·</w:t>
      </w:r>
    </w:p>
    <w:p>
      <w:pPr>
        <w:pStyle w:val="NormalHanging12a"/>
      </w:pPr>
      <w:r>
        <w:t>18.</w:t>
      </w:r>
      <w:r>
        <w:tab/>
      </w:r>
      <w:r>
        <w:t>υπογραμμίζει ότι η ενισχυμένη συνεργασία στον τομέα της διακυβέρνησης της ΤΝ μεταξύ του Κοινοβουλίου, των εθνικών κοινοβουλίων και των εθνικών αρμόδιων αρχών, σύμφωνα με το άρθρο 70 της πράξης για την τεχνητή νοημοσύνη, είναι απαραίτητη για την ανταλλαγή βέλτιστων πρακτικών, τη βελτίωση της νομοθετικής συνοχής και τη στήριξη του κοινοβουλευτικού ελέγχου της ανάπτυξης της ΤΝ σε ολόκληρη την ΕΕ·</w:t>
      </w:r>
    </w:p>
    <w:p>
      <w:pPr>
        <w:pStyle w:val="NormalHanging12a"/>
      </w:pPr>
      <w:r>
        <w:t>19.</w:t>
      </w:r>
      <w:r>
        <w:tab/>
      </w:r>
      <w:r>
        <w:t xml:space="preserve">ζητεί τη συστηματική κοινοβουλευτική αξιολόγηση των κινδύνων που σχετίζονται με την ΤΝ για τις δημοκρατικές διαδικασίες, συμπεριλαμβανομένης της εκλογικής ακεραιότητας, και ζητεί να στηρίζει το Παρατηρητήριο ΤΝ του </w:t>
      </w:r>
      <w:r>
        <w:t>Ευρωπαϊκού Κοινοβουλίου</w:t>
      </w:r>
      <w:r>
        <w:t xml:space="preserve"> την παρακολούθηση των εκλογών και των ευρωπαϊκών πολιτικών κομμάτων, δεδομένου ότι η ΤΝ διαμορφώνει όλο και περισσότερο την πολιτική επικοινωνία, τις εκλογικές διαδικασίες, τον δημόσιο λόγο και τη λήψη αποφάσεων·</w:t>
      </w:r>
    </w:p>
    <w:p>
      <w:pPr>
        <w:pStyle w:val="NormalHanging12a"/>
      </w:pPr>
      <w:r>
        <w:t>20.</w:t>
      </w:r>
      <w:r>
        <w:tab/>
      </w:r>
      <w:r>
        <w:t>τονίζει ότι, λόγω του κατακερματισμού και της περιορισμένης εναρμόνισής του, το ισχύον ευρωπαϊκό εκλογικό νομικό πλαίσιο, όπως αντικατοπτρίζεται στην απόφαση (ΕΕ, Ευρατόμ) 2018/994 του Συμβουλίου</w:t>
      </w:r>
      <w:r>
        <w:rPr>
          <w:rStyle w:val="FootnoteReference"/>
        </w:rPr>
        <w:footnoteReference w:customMarkFollows="1" w:id="3"/>
        <w:t xml:space="preserve">2</w:t>
      </w:r>
      <w:r>
        <w:t>, είναι ολοένα και πιο ακατάλληλο για την αντιμετώπιση των αναδυόμενων προκλήσεων που συνδέονται με τη χρήση της ΤΝ στις εκλογικές διαδικασίες· τονίζει, για τον λόγο αυτό, ότι είναι σημαντικό να προετοιμαστεί το έδαφος για μια μελλοντική μεταρρύθμιση του ευρωπαϊκού εκλογικού νόμου σύμφωνα με το άρθρο 223 της ΣΛΕΕ, η οποία θα αντικατοπτρίζει τον αντίκτυπο της ΤΝ στην ευρωπαϊκή εκλογική διαδικασία, καθιστώντας την ευρωπαϊκή εκλογική διαδικασία πιο ανθεκτική στο πλαίσιο της παραπληροφόρησης και της χειραγώγησης στον τομέα της ΤΝ·</w:t>
      </w:r>
    </w:p>
    <w:p>
      <w:pPr>
        <w:pStyle w:val="NormalHanging12a"/>
      </w:pPr>
      <w:r>
        <w:t>21.</w:t>
      </w:r>
      <w:r>
        <w:tab/>
      </w:r>
      <w:r>
        <w:t>τονίζει ότι η ταχεία εξέλιξη του τοπίου διακυβέρνησης της ΕΕ, ιδίως ως απάντηση στον ψηφιακό μετασχηματισμό, την ΤΝ και τα ολοένα και πιο περίπλοκα ρυθμιστικά πλαίσια, δοκιμάζει σταδιακά την επάρκεια των υφιστάμενων διατάξεων της Συνθήκης που διέπουν τις θεσμικές αρμοδιότητες, τη δημοκρατική λογοδοσία και τον κοινοβουλευτικό έλεγχο·</w:t>
      </w:r>
    </w:p>
    <w:p>
      <w:pPr>
        <w:pStyle w:val="NormalHanging12a"/>
      </w:pPr>
      <w:r>
        <w:t>22.</w:t>
      </w:r>
      <w:r>
        <w:tab/>
      </w:r>
      <w:r>
        <w:t>τονίζει, για τον λόγο αυτό, ότι απαιτείται διαρθρωμένος και χωρίς αποκλεισμούς προβληματισμός σχετικά με την πιθανή εξέλιξη των Συνθηκών μεσοπρόθεσμα και μακροπρόθεσμα, προκειμένου να διασφαλιστεί ότι η αρχιτεκτονική διακυβέρνησης της ΕΕ θα παραμείνει συνεκτική, διαφανής, δημοκρατικά νόμιμη και ικανή να ανταποκρίνεται αποτελεσματικά στις αναδυόμενες προκλήσεις, με πλήρη σεβασμό των αρχών της επικουρικότητας, της αναλογικότητας και της συνταγματικής ταυτότητας των κρατών μελών·</w:t>
      </w:r>
    </w:p>
    <w:p>
      <w:pPr>
        <w:pStyle w:val="NormalHanging12a"/>
      </w:pPr>
      <w:r>
        <w:t>23.</w:t>
      </w:r>
      <w:r>
        <w:tab/>
      </w:r>
      <w:r>
        <w:t>αναθέτει στην Πρόεδρό του να διαβιβάσει το παρόν ψήφισμα στο Συμβούλιο και στην Επιτροπή.</w:t>
      </w:r>
    </w:p>
    <w:p>
      <w:pPr>
        <w:sectPr>
          <w:footerReference w:type="even" r:id="rId8"/>
          <w:footerReference w:type="default" r:id="rId9"/>
          <w:footerReference w:type="first" r:id="rId10"/>
          <w:footnotePr>
            <w:numRestart w:val="eachSect"/>
          </w:footnotePr>
          <w:pgSz w:w="11909" w:h="16834"/>
          <w:pgMar w:top="1134" w:right="1417" w:bottom="1417" w:left="1417" w:header="1134" w:footer="567"/>
          <w:cols w:space="720"/>
          <w:titlePg/>
        </w:sectPr>
      </w:pPr>
    </w:p>
    <w:p>
      <w:pPr>
        <w:pStyle w:val="PageHeading"/>
      </w:pPr>
      <w:bookmarkStart w:id="1" w:name="_Toc256000001"/>
      <w:r>
        <w:t>ΑΙΤΙΟΛΟΓΙΚΗ ΕΚΘΕΣΗ</w:t>
      </w:r>
      <w:bookmarkEnd w:id="1"/>
    </w:p>
    <w:p>
      <w:pPr>
        <w:pStyle w:val="Normal12"/>
      </w:pPr>
      <w:r>
        <w:t>Η τεχνητή νοημοσύνη δεν αποτελεί πλέον απλώς τεχνολογική ανάπτυξη ή κανονιστική πρόκληση. Έχει εξελιχθεί σε διαρθρωτικό παράγοντα που διαμορφώνει την οικονομική διακυβέρνηση, τη δημόσια διοίκηση, τις δημοκρατικές διαδικασίες και τη θεσμική ισορροπία εντός της Ευρωπαϊκής Ένωσης. Ενώ ο κανονισμός (ΕΕ) 2024/1689 (κανονισμός για την τεχνητή νοημοσύνη) θεσπίζει ένα ολοκληρωμένο κανονιστικό πλαίσιο, η ταχεία εξέλιξη των συστημάτων ΤΝ — συμπεριλαμβανομένων των εφαρμογών γενικού σκοπού και των αυτόνομων εφαρμογών- εγείρει ευρύτερα συνταγματικά και θεσμικά ζητήματα που υπερβαίνουν την τομεακή νομοθεσία.</w:t>
      </w:r>
    </w:p>
    <w:p>
      <w:pPr>
        <w:pStyle w:val="Normal12"/>
      </w:pPr>
      <w:r>
        <w:t xml:space="preserve">Η παρούσα έκθεση εξετάζει την τεχνητή νοημοσύνη από θεσμική σκοπιά, σύμφωνα με τις αρμοδιότητες του </w:t>
      </w:r>
      <w:r>
        <w:t>Ευρωπαϊκού Κοινοβουλίου</w:t>
      </w:r>
      <w:r>
        <w:t xml:space="preserve"> δυνάμει του άρθρου 55 και του παραρτήματος VI του Κανονισμού του. Σύμφωνα με τα άρθρα 10, 11 και 13 ΣΕΕ, το Κοινοβούλιο φέρει ειδική ευθύνη για τη διασφάλιση της δημοκρατικής λογοδοσίας, της διαφάνειας και της θεσμικής ισορροπίας εντός της Ένωσης· Η τεχνητή νοημοσύνη επηρεάζει όλο και περισσότερο την άσκηση δημόσιας εξουσίας, τη λειτουργία των εκλογικών διαδικασιών, την πρόσβαση σε πληροφορίες και τη σχέση μεταξύ των θεσμικών οργάνων της Ένωσης και των κρατών μελών. Οι εξελίξεις αυτές απαιτούν διαρθρωμένο κοινοβουλευτικό έλεγχο στο πλαίσιο των Συνθηκών.</w:t>
      </w:r>
    </w:p>
    <w:p>
      <w:pPr>
        <w:pStyle w:val="Normal12"/>
      </w:pPr>
      <w:r>
        <w:t>Ως εκ τούτου, η έκθεση επιδιώκει τέσσερις αλληλένδετους στόχους.</w:t>
      </w:r>
    </w:p>
    <w:p>
      <w:pPr>
        <w:pStyle w:val="Normal12"/>
      </w:pPr>
      <w:r>
        <w:t>Πρώτον, υπογραμμίζει ότι η διακυβέρνηση της τεχνητής νοημοσύνης πρέπει να παραμείνει πλήρως ευθυγραμμισμένη με τις θεμελιώδεις αξίες της Ένωσης, όπως κατοχυρώνονται στο άρθρο 2 της ΣΕΕ. Η ανάπτυξη της ΤΝ εντός των δημόσιων οργανισμών πρέπει να παραμείνει ανθρωποκεντρική, διαφανής και υπεύθυνη, διασφαλίζοντας ότι η τεχνολογική καινοτομία ενισχύει και δεν υπονομεύει τη δημοκρατική νομιμότητα, το κράτος δικαίου και τα θεμελιώδη δικαιώματα.</w:t>
      </w:r>
    </w:p>
    <w:p>
      <w:pPr>
        <w:pStyle w:val="Normal12"/>
      </w:pPr>
      <w:r>
        <w:t xml:space="preserve">Δεύτερον, η έκθεση εξετάζει τις θεσμικές επιπτώσεις της τεχνητής νοημοσύνης σε επίπεδο Ένωσης. Ζητεί διαρθρωμένο διοργανικό διάλογο μεταξύ του Κοινοβουλίου, της Επιτροπής και του Συμβουλίου σχετικά με τις θεσμικές διαστάσεις της ΤΝ, καθώς και ενισχυμένη κοινοβουλευτική ικανότητα για την αξιολόγηση της χρήσης της ΤΝ στους κόλπους των δημόσιων διοικήσεων και των θεσμικών οργάνων της Ένωσης. Στο πλαίσιο αυτό, προτείνει τη δημιουργία ειδικής αναλυτικής ικανότητας στο εσωτερικό του </w:t>
      </w:r>
      <w:r>
        <w:t>Ευρωπαϊκού Κοινοβουλίου</w:t>
      </w:r>
      <w:r>
        <w:t xml:space="preserve"> (που αναφέρεται στην παρούσα έκθεση ως Παρατηρητήριο ΤΝ του Ευρωπαϊκού Κοινοβουλίου), η οποία θα σχεδιαστεί ως οριζόντια δομή υποστήριξης του κοινοβουλευτικού έργου.</w:t>
      </w:r>
    </w:p>
    <w:p>
      <w:pPr>
        <w:pStyle w:val="Normal12"/>
      </w:pPr>
      <w:r>
        <w:t>Αυτή η αναλυτική ικανότητα δεν θα πρέπει να αντιγράφει τις υφιστάμενες ή τις προγραμματισμένες δομές εντός της Επιτροπής ούτε να αλληλεπικαλύπτεται με αυτές, συμπεριλαμβανομένων της Υπηρεσίας ΤΝ και των σχετικών λειτουργιών του παρατηρητηρίου, αλλά θα πρέπει αντ’ αυτού να επικεντρώνεται στη στήριξη του κοινοβουλευτικού ελέγχου, της θεσμικής ανάλυσης και της διακοινοβουλευτικής συνεργασίας. Θα πρέπει να συμβάλλει στην αξιολόγηση των επιπτώσεων της ΤΝ στη θεσμική ισορροπία, τη δημοκρατική λογοδοσία, τη διοικητική διαφάνεια και τη νομοθετική συνοχή, ενισχύοντας παράλληλα την ικανότητα του Κοινοβουλίου να ασκεί τα προνόμιά του δυνάμει των Συνθηκών.</w:t>
      </w:r>
    </w:p>
    <w:p>
      <w:pPr>
        <w:pStyle w:val="Normal12"/>
      </w:pPr>
      <w:r>
        <w:t>Η δομή αυτή δεν προβλέπεται να ασκεί ρυθμιστικές εξουσίες ή εξουσίες επιβολής. Ο ρόλος της θα είναι αναλυτικός και υποστηρικτικός, δεδομένου ότι θα παρέχει ανεξάρτητη εμπειρογνωσία στις κοινοβουλευτικές επιτροπές και θα συμβάλλει στην ανάπτυξη της θεσμικής μνήμης του Κοινοβουλίου στον τομέα της τεχνητής νοημοσύνης. Οι λειτουργίες της ενδέχεται να εξελιχθούν με την πάροδο του χρόνου ως απάντηση στον αυξανόμενο διατομεακό χαρακτήρα της νομοθεσίας που σχετίζεται με την ΤΝ και στην αντίστοιχη ανάγκη για ενισχυμένο κοινοβουλευτικό συντονισμό.</w:t>
      </w:r>
    </w:p>
    <w:p>
      <w:pPr>
        <w:pStyle w:val="Normal12"/>
      </w:pPr>
      <w:r>
        <w:t>Τρίτον, η έκθεση τοποθετεί την τεχνητή νοημοσύνη σε ένα ευρύτερο γεωπολιτικό και συνταγματικό πλαίσιο. Η ΤΝ συνιστά συστημική παγκόσμια τεχνολογία με εκτεταμένες επιπτώσεις συγκρίσιμες με προηγούμενες μετασχηματιστικές τεχνολογικές εξελίξεις. Κατά συνέπεια, η αποτελεσματική διακυβέρνηση απαιτεί ενισχυμένη πολυμερή συνεργασία και δικαιολογεί περαιτέρω προβληματισμό σχετικά με τη θέσπιση παγκόσμιου πλαισίου ή διεθνούς σύμβασης για την τεχνητή νοημοσύνη.</w:t>
      </w:r>
    </w:p>
    <w:p>
      <w:pPr>
        <w:pStyle w:val="Normal12"/>
      </w:pPr>
      <w:r>
        <w:t>Ταυτόχρονα, η αυξανόμενη χρήση της ΤΝ στην πολιτική επικοινωνία και τις εκλογικές διαδικασίες εγείρει σημαντικές ανησυχίες για τη δημοκρατική ακεραιότητα. Για τον λόγο αυτό, στην έκθεση τονίζεται η ανάγκη επαναξιολόγησης του ευρωπαϊκού εκλογικού πλαισίου, μεταξύ άλλων υπό το πρίσμα του σημερινού κατακερματισμού που προσδιορίζεται στην απόφαση (ΕΕ, Ευρατόμ) 2018/994 του Συμβουλίου, προκειμένου να διασφαλιστεί ότι οι εκλογικές διαδικασίες θα παραμείνουν ελεύθερες, δίκαιες και ανθεκτικές στην ψηφιακή εποχή.</w:t>
      </w:r>
    </w:p>
    <w:p>
      <w:pPr>
        <w:pStyle w:val="Normal12"/>
      </w:pPr>
      <w:r>
        <w:t>Τέλος, στην έκθεση αναγνωρίζεται ότι η ταχεία εξέλιξη της ψηφιακής διακυβέρνησης, συμπεριλαμβανομένης της τεχνητής νοημοσύνης, μπορεί, μεσοπρόθεσμα και μακροπρόθεσμα, να δοκιμάσει την επάρκεια των υφιστάμενων διατάξεων της Συνθήκης που διέπουν τις θεσμικές αρμοδιότητες, τη δημοκρατική λογοδοσία και τον κοινοβουλευτικό έλεγχο. Επομένως, ενδέχεται να χρειαστεί διαρθρωμένος και συμπεριληπτικός προβληματισμός σχετικά με την πιθανή εξέλιξη των Συνθηκών, ώστε να διασφαλιστεί ότι η αρχιτεκτονική διακυβέρνησης της Ένωσης θα παραμείνει συνεκτική, διαφανής και δημοκρατικά νόμιμη.</w:t>
      </w:r>
    </w:p>
    <w:p>
      <w:pPr>
        <w:pStyle w:val="Normal12"/>
      </w:pPr>
      <w:r>
        <w:t>Στην παρούσα έκθεση επιβεβαιώνεται ότι η διακυβέρνηση της τεχνητής νοημοσύνης δεν αποτελεί μόνο ζήτημα τεχνικής ρύθμισης, αλλά συνιστά επίσης ζήτημα συνταγματικού χαρακτήρα. Στόχος της έκθεσης είναι να διασφαλιστεί ότι το θεσμικό πλαίσιο της Ένωσης θα διατηρήσει την ικανότητά του να διαφυλάσσει τη δημοκρατία, το κράτος δικαίου και τα θεμελιώδη δικαιώματα σε μια εποχή ριζικού τεχνολογικού μετασχηματισμού.</w:t>
      </w:r>
    </w:p>
    <w:sectPr>
      <w:type w:val="nextPage"/>
      <w:pgSz w:w="11909" w:h="16834"/>
      <w:pgMar w:top="1134" w:right="1417" w:bottom="1417" w:left="1417" w:header="1134" w:footer="567"/>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EPFooter"/>
    </w:pPr>
    <w:r>
      <w:t>PE</w:t>
    </w:r>
    <w:r>
      <w:rPr>
        <w:rStyle w:val="HideTWBExt"/>
      </w:rPr>
      <w:t>&lt;NoPE&gt;</w:t>
    </w:r>
    <w:r>
      <w:t>779.285</w:t>
    </w:r>
    <w:r>
      <w:rPr>
        <w:rStyle w:val="HideTWBExt"/>
      </w:rPr>
      <w:t>&lt;/NoPE&gt;</w:t>
    </w:r>
    <w:r>
      <w:rPr>
        <w:rStyle w:val="HideTWBExt"/>
      </w:rPr>
      <w:t>&lt;Version&gt;</w:t>
    </w:r>
    <w:r>
      <w:t>v01-00</w:t>
    </w:r>
    <w:r>
      <w:rPr>
        <w:rStyle w:val="HideTWBExt"/>
      </w:rPr>
      <w:t>&lt;/Version&gt;</w:t>
    </w:r>
    <w:r>
      <w:tab/>
    </w:r>
    <w:r>
      <w:fldChar w:fldCharType="begin"/>
    </w:r>
    <w:r>
      <w:instrText xml:space="preserve"> PAGE </w:instrText>
    </w:r>
    <w:r>
      <w:fldChar w:fldCharType="separate"/>
    </w:r>
    <w:r>
      <w:t>10</w:t>
    </w:r>
    <w:r>
      <w:fldChar w:fldCharType="end"/>
    </w:r>
    <w:r>
      <w:t>/</w:t>
    </w:r>
    <w:r>
      <w:fldChar w:fldCharType="begin"/>
    </w:r>
    <w:r>
      <w:instrText xml:space="preserve"> NUMPAGES </w:instrText>
    </w:r>
    <w:r>
      <w:fldChar w:fldCharType="separate"/>
    </w:r>
    <w:r>
      <w:t>10</w:t>
    </w:r>
    <w:r>
      <w:fldChar w:fldCharType="end"/>
    </w:r>
    <w:r>
      <w:tab/>
    </w:r>
    <w:r>
      <w:rPr>
        <w:rStyle w:val="HideTWBExt"/>
      </w:rPr>
      <w:t>&lt;PathFdR&gt;</w:t>
    </w:r>
    <w:r>
      <w:t>PR\1330345EN.docx</w:t>
    </w:r>
    <w:r>
      <w:rPr>
        <w:rStyle w:val="HideTWBExt"/>
      </w:rPr>
      <w:t>&lt;/PathFdR&gt;</w:t>
    </w:r>
  </w:p>
  <w:p>
    <w:pPr>
      <w:pStyle w:val="EPFooter2"/>
    </w:pPr>
    <w:r>
      <w:t>EL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EPFooter"/>
    </w:pPr>
    <w:r>
      <w:rPr>
        <w:rStyle w:val="HideTWBExt"/>
      </w:rPr>
      <w:t>&lt;PathFdR&gt;</w:t>
    </w:r>
    <w:r>
      <w:t>PR\1330345EN.docx</w:t>
    </w:r>
    <w:r>
      <w:rPr>
        <w:rStyle w:val="HideTWBExt"/>
      </w:rPr>
      <w:t>&lt;/PathFdR&gt;</w:t>
    </w:r>
    <w:r>
      <w:tab/>
    </w:r>
    <w:r>
      <w:fldChar w:fldCharType="begin"/>
    </w:r>
    <w:r>
      <w:instrText xml:space="preserve"> PAGE </w:instrText>
    </w:r>
    <w:r>
      <w:fldChar w:fldCharType="separate"/>
    </w:r>
    <w:r>
      <w:t>9</w:t>
    </w:r>
    <w:r>
      <w:fldChar w:fldCharType="end"/>
    </w:r>
    <w:r>
      <w:t>/</w:t>
    </w:r>
    <w:r>
      <w:fldChar w:fldCharType="begin"/>
    </w:r>
    <w:r>
      <w:instrText xml:space="preserve"> NUMPAGES </w:instrText>
    </w:r>
    <w:r>
      <w:fldChar w:fldCharType="separate"/>
    </w:r>
    <w:r>
      <w:t>10</w:t>
    </w:r>
    <w:r>
      <w:fldChar w:fldCharType="end"/>
    </w:r>
    <w:r>
      <w:tab/>
    </w:r>
    <w:r>
      <w:t>PE</w:t>
    </w:r>
    <w:r>
      <w:rPr>
        <w:rStyle w:val="HideTWBExt"/>
      </w:rPr>
      <w:t>&lt;NoPE&gt;</w:t>
    </w:r>
    <w:r>
      <w:t>779.285</w:t>
    </w:r>
    <w:r>
      <w:rPr>
        <w:rStyle w:val="HideTWBExt"/>
      </w:rPr>
      <w:t>&lt;/NoPE&gt;</w:t>
    </w:r>
    <w:r>
      <w:rPr>
        <w:rStyle w:val="HideTWBExt"/>
      </w:rPr>
      <w:t>&lt;Version&gt;</w:t>
    </w:r>
    <w:r>
      <w:t>v01-00</w:t>
    </w:r>
    <w:r>
      <w:rPr>
        <w:rStyle w:val="HideTWBExt"/>
      </w:rPr>
      <w:t>&lt;/Version&gt;</w:t>
    </w:r>
  </w:p>
  <w:p>
    <w:pPr>
      <w:pStyle w:val="EPFooter2"/>
    </w:pPr>
    <w:r>
      <w:tab/>
    </w:r>
    <w:r>
      <w:tab/>
    </w:r>
    <w:r>
      <w:t>EL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EPFooter"/>
    </w:pPr>
    <w:r>
      <w:rPr>
        <w:rStyle w:val="HideTWBExt"/>
      </w:rPr>
      <w:t>&lt;PathFdR&gt;</w:t>
    </w:r>
    <w:r>
      <w:t>PR\1330345EN.docx</w:t>
    </w:r>
    <w:r>
      <w:rPr>
        <w:rStyle w:val="HideTWBExt"/>
      </w:rPr>
      <w:t>&lt;/PathFdR&gt;</w:t>
    </w:r>
    <w:r>
      <w:tab/>
    </w:r>
    <w:r>
      <w:tab/>
    </w:r>
    <w:r>
      <w:t>PE</w:t>
    </w:r>
    <w:r>
      <w:rPr>
        <w:rStyle w:val="HideTWBExt"/>
      </w:rPr>
      <w:t>&lt;NoPE&gt;</w:t>
    </w:r>
    <w:r>
      <w:t>779.285</w:t>
    </w:r>
    <w:r>
      <w:rPr>
        <w:rStyle w:val="HideTWBExt"/>
      </w:rPr>
      <w:t>&lt;/NoPE&gt;</w:t>
    </w:r>
    <w:r>
      <w:rPr>
        <w:rStyle w:val="HideTWBExt"/>
      </w:rPr>
      <w:t>&lt;Version&gt;</w:t>
    </w:r>
    <w:r>
      <w:t>v01-00</w:t>
    </w:r>
    <w:r>
      <w:rPr>
        <w:rStyle w:val="HideTWBExt"/>
      </w:rPr>
      <w:t>&lt;/Version&gt;</w:t>
    </w:r>
  </w:p>
  <w:p>
    <w:pPr>
      <w:pStyle w:val="EPFooter2"/>
    </w:pPr>
    <w:r>
      <w:t>EL</w:t>
    </w:r>
    <w:r>
      <w:tab/>
    </w:r>
    <w:r>
      <w:rPr>
        <w:rStyle w:val="EPFooter2Motto"/>
      </w:rPr>
      <w:t>Ενωμένη στην πολυμορφία</w:t>
    </w:r>
    <w:r>
      <w:tab/>
    </w:r>
    <w:r>
      <w:t>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pStyle w:val="FootnoteText"/>
      </w:pPr>
      <w:r>
        <w:rPr>
          <w:vertAlign w:val="superscript"/>
        </w:rPr>
        <w:t>1</w:t>
      </w:r>
      <w:r>
        <w:t xml:space="preserve"> </w:t>
      </w:r>
      <w:r>
        <w:t xml:space="preserve">ΕΕ L, 2024/1689, 12.7.2024, ELI: </w:t>
      </w:r>
      <w:hyperlink r:id="rId1" w:tgtFrame="http://data.europa.eu/eli/reg/2024/1689/oj" w:history="1">
        <w:r>
          <w:rPr>
            <w:rStyle w:val="Hyperlink"/>
          </w:rPr>
          <w:t>http://data.europa.eu/eli/reg/2024/1689/oj</w:t>
        </w:r>
      </w:hyperlink>
      <w:r>
        <w:t>.</w:t>
      </w:r>
    </w:p>
  </w:footnote>
  <w:footnote w:id="3">
    <w:p>
      <w:pPr>
        <w:pStyle w:val="FootnoteText"/>
      </w:pPr>
      <w:r>
        <w:rPr>
          <w:vertAlign w:val="superscript"/>
        </w:rPr>
        <w:t>2</w:t>
      </w:r>
      <w:r>
        <w:t xml:space="preserve"> </w:t>
      </w:r>
      <w:r>
        <w:t xml:space="preserve">Απόφαση (ΕΕ, Ευρατόμ) 2018/994 του Συμβουλίου, της 13ης Ιουλίου 2018, για την τροποποίηση της πράξης περί εκλογής των μελών του Ευρωπαϊκού Κοινοβουλίου με άμεση και καθολική ψηφοφορία, που προσαρτάται στην απόφαση 76/787/ΕΚΑΧ, ΕΟΚ, Ευρατόμ του Συμβουλίου, της 20ής Σεπτεμβρίου 1976 (ΕΕ L 178 της 16.7.2018, σ. 1, ELI: </w:t>
      </w:r>
      <w:hyperlink r:id="rId2" w:tgtFrame="http://data.europa.eu/eli/dec/2018/994/oj" w:history="1">
        <w:r>
          <w:rPr>
            <w:rStyle w:val="Hyperlink"/>
          </w:rPr>
          <w:t>http://data.europa.eu/eli/dec/2018/994/oj</w:t>
        </w:r>
      </w:hyperlink>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1"/>
    <w:lvl w:ilvl="0">
      <w:start w:val="1"/>
      <w:numFmt w:val="bullet"/>
      <w:lvlText w:val="o"/>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evenAndOddHeaders/>
  <w:noPunctuationKerning/>
  <w:characterSpacingControl w:val="doNotCompress"/>
  <w:footnotePr>
    <w:numRestart w:val="eachSect"/>
    <w:footnote w:id="0"/>
    <w:footnote w:id="1"/>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OCPage">
    <w:name w:val="TOC Page"/>
    <w:basedOn w:val="Normal"/>
    <w:pPr>
      <w:keepNext/>
      <w:widowControl/>
      <w:spacing w:after="240"/>
      <w:jc w:val="right"/>
    </w:pPr>
    <w:rPr>
      <w:rFonts w:ascii="Arial" w:hAnsi="Arial"/>
      <w:b/>
    </w:rPr>
  </w:style>
  <w:style w:type="paragraph" w:customStyle="1" w:styleId="PageHeading">
    <w:name w:val="PageHeading"/>
    <w:basedOn w:val="Normal"/>
    <w:pPr>
      <w:keepNext/>
      <w:widowControl/>
      <w:spacing w:after="480"/>
      <w:jc w:val="center"/>
    </w:pPr>
    <w:rPr>
      <w:rFonts w:ascii="Arial" w:eastAsia="Arial" w:hAnsi="Arial" w:cs="Arial"/>
      <w:b/>
    </w:rPr>
  </w:style>
  <w:style w:type="paragraph" w:customStyle="1" w:styleId="EPComma">
    <w:name w:val="EPComma"/>
    <w:basedOn w:val="Normal"/>
    <w:pPr>
      <w:widowControl/>
      <w:spacing w:before="480" w:after="240"/>
    </w:pPr>
  </w:style>
  <w:style w:type="paragraph" w:customStyle="1" w:styleId="NormalBold">
    <w:name w:val="NormalBold"/>
    <w:basedOn w:val="Normal"/>
    <w:pPr>
      <w:widowControl/>
    </w:pPr>
    <w:rPr>
      <w:b/>
    </w:rPr>
  </w:style>
  <w:style w:type="paragraph" w:customStyle="1" w:styleId="CoverNormal">
    <w:name w:val="CoverNormal"/>
    <w:basedOn w:val="Normal"/>
    <w:pPr>
      <w:widowControl/>
      <w:ind w:left="1418"/>
    </w:pPr>
  </w:style>
  <w:style w:type="paragraph" w:customStyle="1" w:styleId="CoverReference">
    <w:name w:val="CoverReference"/>
    <w:basedOn w:val="Normal"/>
    <w:pPr>
      <w:widowControl/>
      <w:spacing w:before="1080"/>
      <w:jc w:val="right"/>
    </w:pPr>
    <w:rPr>
      <w:rFonts w:ascii="Arial" w:hAnsi="Arial"/>
      <w:b/>
    </w:rPr>
  </w:style>
  <w:style w:type="paragraph" w:customStyle="1" w:styleId="EPName">
    <w:name w:val="EPName"/>
    <w:basedOn w:val="Normal"/>
    <w:pPr>
      <w:widowControl/>
      <w:spacing w:before="80" w:after="80"/>
    </w:pPr>
    <w:rPr>
      <w:rFonts w:ascii="Arial Narrow" w:eastAsia="Arial" w:hAnsi="Arial Narrow" w:cs="Arial"/>
      <w:b/>
      <w:sz w:val="32"/>
    </w:rPr>
  </w:style>
  <w:style w:type="character" w:customStyle="1" w:styleId="HideTWBExt">
    <w:name w:val="HideTWBExt"/>
    <w:rPr>
      <w:rFonts w:ascii="Arial" w:hAnsi="Arial"/>
      <w:vanish/>
      <w:color w:val="000080"/>
      <w:sz w:val="20"/>
    </w:rPr>
  </w:style>
  <w:style w:type="paragraph" w:customStyle="1" w:styleId="EPFooter2">
    <w:name w:val="EPFooter2"/>
    <w:basedOn w:val="Normal"/>
    <w:next w:val="Normal"/>
    <w:pPr>
      <w:widowControl/>
      <w:tabs>
        <w:tab w:val="center" w:pos="4534"/>
        <w:tab w:val="right" w:pos="9920"/>
      </w:tabs>
      <w:ind w:left="-840" w:right="-840"/>
    </w:pPr>
    <w:rPr>
      <w:rFonts w:ascii="Arial" w:eastAsia="Arial" w:hAnsi="Arial" w:cs="Arial"/>
      <w:b/>
      <w:sz w:val="48"/>
    </w:rPr>
  </w:style>
  <w:style w:type="paragraph" w:customStyle="1" w:styleId="Normal12a">
    <w:name w:val="Normal12a"/>
    <w:basedOn w:val="Normal"/>
    <w:pPr>
      <w:widowControl/>
      <w:spacing w:after="240"/>
    </w:pPr>
  </w:style>
  <w:style w:type="character" w:customStyle="1" w:styleId="HideTWBInt">
    <w:name w:val="HideTWBInt"/>
    <w:rPr>
      <w:rFonts w:ascii="Arial" w:hAnsi="Arial"/>
      <w:vanish/>
      <w:color w:val="808080"/>
      <w:sz w:val="20"/>
    </w:rPr>
  </w:style>
  <w:style w:type="paragraph" w:customStyle="1" w:styleId="CoverNormal24a">
    <w:name w:val="CoverNormal24a"/>
    <w:basedOn w:val="Normal"/>
    <w:pPr>
      <w:widowControl/>
      <w:spacing w:after="480"/>
      <w:ind w:left="1416"/>
    </w:pPr>
  </w:style>
  <w:style w:type="paragraph" w:customStyle="1" w:styleId="CoverDocType24a">
    <w:name w:val="CoverDocType24a"/>
    <w:basedOn w:val="Normal"/>
    <w:pPr>
      <w:widowControl/>
      <w:spacing w:after="480"/>
      <w:ind w:left="1416"/>
    </w:pPr>
    <w:rPr>
      <w:rFonts w:ascii="Arial" w:eastAsia="Arial" w:hAnsi="Arial" w:cs="Arial"/>
      <w:b/>
      <w:sz w:val="48"/>
    </w:rPr>
  </w:style>
  <w:style w:type="paragraph" w:customStyle="1" w:styleId="CoverDate">
    <w:name w:val="CoverDate"/>
    <w:basedOn w:val="Normal"/>
    <w:pPr>
      <w:widowControl/>
      <w:spacing w:before="240" w:after="1200"/>
    </w:pPr>
  </w:style>
  <w:style w:type="paragraph" w:customStyle="1" w:styleId="NormalHanging12a">
    <w:name w:val="NormalHanging12a"/>
    <w:basedOn w:val="Normal"/>
    <w:pPr>
      <w:widowControl/>
      <w:overflowPunct/>
      <w:spacing w:after="240"/>
      <w:ind w:left="566" w:hanging="566"/>
    </w:pPr>
  </w:style>
  <w:style w:type="paragraph" w:customStyle="1" w:styleId="EPBody">
    <w:name w:val="EPBody"/>
    <w:basedOn w:val="Normal"/>
    <w:pPr>
      <w:widowControl/>
      <w:jc w:val="center"/>
    </w:pPr>
    <w:rPr>
      <w:rFonts w:ascii="Arial" w:eastAsia="Arial" w:hAnsi="Arial" w:cs="Arial"/>
      <w:i/>
      <w:sz w:val="22"/>
    </w:rPr>
  </w:style>
  <w:style w:type="paragraph" w:customStyle="1" w:styleId="LineTop">
    <w:name w:val="LineTop"/>
    <w:basedOn w:val="Normal"/>
    <w:next w:val="Normal"/>
    <w:pPr>
      <w:widowControl/>
      <w:pBdr>
        <w:top w:val="single" w:sz="4" w:space="1" w:color="000000"/>
      </w:pBdr>
      <w:jc w:val="center"/>
    </w:pPr>
    <w:rPr>
      <w:rFonts w:ascii="Arial" w:hAnsi="Arial"/>
      <w:sz w:val="16"/>
    </w:rPr>
  </w:style>
  <w:style w:type="paragraph" w:customStyle="1" w:styleId="LineBottom">
    <w:name w:val="LineBottom"/>
    <w:basedOn w:val="Normal"/>
    <w:next w:val="Normal"/>
    <w:pPr>
      <w:widowControl/>
      <w:pBdr>
        <w:bottom w:val="single" w:sz="4" w:space="1" w:color="000000"/>
      </w:pBdr>
      <w:spacing w:after="240"/>
      <w:jc w:val="center"/>
    </w:pPr>
    <w:rPr>
      <w:rFonts w:ascii="Arial" w:hAnsi="Arial"/>
      <w:sz w:val="16"/>
    </w:rPr>
  </w:style>
  <w:style w:type="paragraph" w:customStyle="1" w:styleId="EPTerm">
    <w:name w:val="EPTerm"/>
    <w:basedOn w:val="Normal"/>
    <w:next w:val="Normal"/>
    <w:pPr>
      <w:widowControl/>
      <w:spacing w:after="80"/>
    </w:pPr>
    <w:rPr>
      <w:rFonts w:ascii="Arial" w:eastAsia="Arial" w:hAnsi="Arial" w:cs="Arial"/>
      <w:sz w:val="20"/>
    </w:rPr>
  </w:style>
  <w:style w:type="paragraph" w:customStyle="1" w:styleId="EPLogo">
    <w:name w:val="EPLogo"/>
    <w:basedOn w:val="Normal"/>
    <w:pPr>
      <w:widowControl/>
      <w:jc w:val="right"/>
    </w:pPr>
  </w:style>
  <w:style w:type="paragraph" w:customStyle="1" w:styleId="EPFooter">
    <w:name w:val="EPFooter"/>
    <w:basedOn w:val="Normal"/>
    <w:pPr>
      <w:widowControl/>
      <w:tabs>
        <w:tab w:val="center" w:pos="4534"/>
        <w:tab w:val="right" w:pos="9070"/>
      </w:tabs>
      <w:spacing w:before="240" w:after="240"/>
    </w:pPr>
    <w:rPr>
      <w:sz w:val="22"/>
    </w:rPr>
  </w:style>
  <w:style w:type="paragraph" w:customStyle="1" w:styleId="CoverNormal12a">
    <w:name w:val="CoverNormal12a"/>
    <w:basedOn w:val="Normal"/>
    <w:pPr>
      <w:widowControl/>
      <w:spacing w:after="240"/>
      <w:ind w:left="1418"/>
    </w:pPr>
  </w:style>
  <w:style w:type="paragraph" w:customStyle="1" w:styleId="LegendSign">
    <w:name w:val="LegendSign"/>
    <w:basedOn w:val="Normal"/>
    <w:pPr>
      <w:widowControl/>
      <w:tabs>
        <w:tab w:val="right" w:pos="454"/>
        <w:tab w:val="left" w:pos="736"/>
      </w:tabs>
      <w:overflowPunct/>
      <w:ind w:left="736" w:hanging="736"/>
    </w:pPr>
    <w:rPr>
      <w:sz w:val="18"/>
    </w:rPr>
  </w:style>
  <w:style w:type="paragraph" w:customStyle="1" w:styleId="LegendStandard">
    <w:name w:val="LegendStandard"/>
    <w:basedOn w:val="LegendSign"/>
    <w:pPr>
      <w:widowControl/>
      <w:ind w:left="0" w:firstLine="0"/>
    </w:pPr>
  </w:style>
  <w:style w:type="paragraph" w:customStyle="1" w:styleId="LegendTitle">
    <w:name w:val="LegendTitle"/>
    <w:basedOn w:val="Normal"/>
    <w:pPr>
      <w:widowControl/>
      <w:spacing w:before="240" w:after="240"/>
    </w:pPr>
    <w:rPr>
      <w:b/>
      <w:i/>
    </w:rPr>
  </w:style>
  <w:style w:type="paragraph" w:styleId="TOC1">
    <w:name w:val="toc 1"/>
    <w:basedOn w:val="Normal12b"/>
    <w:next w:val="Normal12b"/>
    <w:autoRedefine/>
    <w:rsid w:val="00805BCE"/>
    <w:pPr>
      <w:widowControl/>
      <w:spacing w:after="240"/>
    </w:pPr>
  </w:style>
  <w:style w:type="character" w:customStyle="1" w:styleId="EPFooter2Motto">
    <w:name w:val="EPFooter2Motto"/>
    <w:rPr>
      <w:rFonts w:ascii="Arial" w:hAnsi="Arial"/>
      <w:b/>
      <w:i/>
      <w:color w:val="C0C0C0"/>
      <w:sz w:val="22"/>
    </w:rPr>
  </w:style>
  <w:style w:type="paragraph" w:customStyle="1" w:styleId="Normal12b">
    <w:name w:val="Normal12b"/>
    <w:basedOn w:val="Normal"/>
    <w:pPr>
      <w:widowControl/>
      <w:spacing w:before="240"/>
    </w:pPr>
  </w:style>
  <w:style w:type="paragraph" w:customStyle="1" w:styleId="PMissingStyle">
    <w:name w:val="P_MissingStyle"/>
    <w:basedOn w:val="Normal"/>
    <w:pPr>
      <w:widowControl/>
      <w:spacing w:after="0" w:line="240" w:lineRule="auto"/>
    </w:pPr>
    <w:rPr>
      <w:rFonts w:ascii="Times New Roman" w:eastAsia="Times New Roman" w:hAnsi="Times New Roman" w:cs="Times New Roman"/>
      <w:color w:val="FFFFFF"/>
      <w:sz w:val="24"/>
    </w:rPr>
  </w:style>
  <w:style w:type="character" w:customStyle="1" w:styleId="CMissingStyle">
    <w:name w:val="C_MissingStyle"/>
    <w:rPr>
      <w:color w:val="FFFFFF"/>
      <w:sz w:val="22"/>
    </w:rPr>
  </w:style>
  <w:style w:type="paragraph" w:styleId="TOCHeading">
    <w:name w:val="TOC Heading"/>
    <w:basedOn w:val="Normal"/>
    <w:next w:val="Normal"/>
    <w:uiPriority w:val="39"/>
    <w:unhideWhenUsed/>
    <w:qFormat/>
    <w:rsid w:val="000200DD"/>
    <w:pPr>
      <w:keepNext/>
      <w:widowControl/>
      <w:spacing w:before="240" w:after="240"/>
      <w:jc w:val="center"/>
      <w:outlineLvl w:val="9"/>
    </w:pPr>
    <w:rPr>
      <w:rFonts w:ascii="Arial" w:hAnsi="Arial"/>
      <w:b/>
    </w:rPr>
  </w:style>
  <w:style w:type="paragraph" w:customStyle="1" w:styleId="Normal12">
    <w:name w:val="Normal12"/>
    <w:basedOn w:val="Normal"/>
    <w:pPr>
      <w:widowControl/>
      <w:spacing w:after="240" w:line="240" w:lineRule="auto"/>
    </w:pPr>
    <w:rPr>
      <w:rFonts w:ascii="Times New Roman" w:eastAsia="Times New Roman" w:hAnsi="Times New Roman" w:cs="Times New Roman"/>
      <w:sz w:val="24"/>
    </w:rPr>
  </w:style>
  <w:style w:type="paragraph" w:customStyle="1" w:styleId="NormalHanging12a4">
    <w:name w:val="NormalHanging12a4"/>
    <w:basedOn w:val="NormalHanging12a3"/>
    <w:pPr>
      <w:widowControl/>
      <w:ind w:left="2268"/>
    </w:pPr>
  </w:style>
  <w:style w:type="paragraph" w:customStyle="1" w:styleId="NormalHanging12a5">
    <w:name w:val="NormalHanging12a5"/>
    <w:basedOn w:val="NormalHanging12a4"/>
    <w:pPr>
      <w:widowControl/>
      <w:ind w:left="2692"/>
    </w:pPr>
  </w:style>
  <w:style w:type="paragraph" w:customStyle="1" w:styleId="NormalHanging12a6">
    <w:name w:val="NormalHanging12a6"/>
    <w:basedOn w:val="NormalHanging12a5"/>
    <w:pPr>
      <w:widowControl/>
      <w:ind w:left="3118"/>
    </w:pPr>
  </w:style>
  <w:style w:type="paragraph" w:customStyle="1" w:styleId="NormalHanging12a7">
    <w:name w:val="NormalHanging12a7"/>
    <w:basedOn w:val="NormalHanging12a6"/>
    <w:pPr>
      <w:widowControl/>
      <w:ind w:left="3544"/>
    </w:pPr>
  </w:style>
  <w:style w:type="paragraph" w:customStyle="1" w:styleId="NormalHanging12a1">
    <w:name w:val="NormalHanging12a1"/>
    <w:basedOn w:val="Normal"/>
    <w:pPr>
      <w:widowControl/>
      <w:overflowPunct/>
      <w:spacing w:after="240" w:line="240" w:lineRule="auto"/>
      <w:ind w:left="992" w:hanging="424"/>
    </w:pPr>
    <w:rPr>
      <w:rFonts w:ascii="Times New Roman" w:eastAsia="Times New Roman" w:hAnsi="Times New Roman" w:cs="Times New Roman"/>
      <w:sz w:val="24"/>
    </w:rPr>
  </w:style>
  <w:style w:type="paragraph" w:customStyle="1" w:styleId="NormalHanging12a2">
    <w:name w:val="NormalHanging12a2"/>
    <w:basedOn w:val="NormalHanging12a1"/>
    <w:pPr>
      <w:widowControl/>
      <w:ind w:left="1416"/>
    </w:pPr>
  </w:style>
  <w:style w:type="paragraph" w:customStyle="1" w:styleId="NormalHanging12a3">
    <w:name w:val="NormalHanging12a3"/>
    <w:basedOn w:val="NormalHanging12a2"/>
    <w:pPr>
      <w:widowControl/>
      <w:ind w:left="1842"/>
    </w:pPr>
  </w:style>
  <w:style w:type="paragraph" w:customStyle="1" w:styleId="NormalHanging">
    <w:name w:val="NormalHanging"/>
    <w:basedOn w:val="Normal"/>
    <w:pPr>
      <w:widowControl/>
      <w:overflowPunct/>
      <w:spacing w:after="240" w:line="240" w:lineRule="auto"/>
      <w:ind w:left="566" w:hanging="566"/>
    </w:pPr>
    <w:rPr>
      <w:rFonts w:ascii="Times New Roman" w:eastAsia="Times New Roman" w:hAnsi="Times New Roman" w:cs="Times New Roman"/>
      <w:sz w:val="24"/>
    </w:rPr>
  </w:style>
  <w:style w:type="character" w:customStyle="1" w:styleId="FooterChar">
    <w:name w:val="Footer Char"/>
    <w:rPr>
      <w:rFonts w:ascii="Times New Roman" w:eastAsia="Times New Roman" w:hAnsi="Times New Roman" w:cs="Times New Roman"/>
      <w:sz w:val="24"/>
    </w:rPr>
  </w:style>
  <w:style w:type="paragraph" w:customStyle="1" w:styleId="NormalBold12a">
    <w:name w:val="NormalBold12a"/>
    <w:basedOn w:val="Normal"/>
    <w:pPr>
      <w:widowControl/>
      <w:spacing w:after="240"/>
    </w:pPr>
    <w:rPr>
      <w:b/>
    </w:rPr>
  </w:style>
  <w:style w:type="paragraph" w:customStyle="1" w:styleId="NormalCenter12a">
    <w:name w:val="NormalCenter12a"/>
    <w:basedOn w:val="Normal"/>
    <w:pPr>
      <w:widowControl/>
      <w:spacing w:after="240"/>
      <w:jc w:val="center"/>
    </w:pPr>
  </w:style>
  <w:style w:type="paragraph" w:customStyle="1" w:styleId="Normal12BoldUnderline">
    <w:name w:val="Normal12BoldUnderline"/>
    <w:basedOn w:val="Normal"/>
    <w:pPr>
      <w:widowControl/>
      <w:spacing w:before="480"/>
    </w:pPr>
    <w:rPr>
      <w:b/>
      <w:u w:val="single"/>
    </w:rPr>
  </w:style>
  <w:style w:type="paragraph" w:customStyle="1" w:styleId="Normal12Bullet2">
    <w:name w:val="Normal12Bullet2"/>
    <w:basedOn w:val="Normal"/>
    <w:pPr>
      <w:widowControl/>
      <w:numPr>
        <w:numId w:val="2"/>
      </w:numPr>
    </w:pPr>
  </w:style>
  <w:style w:type="paragraph" w:customStyle="1" w:styleId="NormalHangingJustified">
    <w:name w:val="NormalHangingJustified"/>
    <w:basedOn w:val="Normal"/>
    <w:pPr>
      <w:widowControl/>
      <w:overflowPunct/>
      <w:spacing w:after="240"/>
      <w:ind w:left="714" w:hanging="356"/>
      <w:jc w:val="both"/>
    </w:pPr>
  </w:style>
  <w:style w:type="paragraph" w:customStyle="1" w:styleId="NormalCenter">
    <w:name w:val="NormalCenter"/>
    <w:basedOn w:val="Normal"/>
    <w:pPr>
      <w:widowControl/>
      <w:spacing w:after="0" w:line="240" w:lineRule="auto"/>
      <w:jc w:val="center"/>
    </w:pPr>
    <w:rPr>
      <w:rFonts w:ascii="Times New Roman" w:eastAsia="Times New Roman" w:hAnsi="Times New Roman" w:cs="Times New Roman"/>
      <w:sz w:val="24"/>
    </w:rPr>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hyperlink" Target="https://eur-lex.europa.eu/legal-content/EN/ALL/?uri=CELEX:52025DC0165" TargetMode="External" /><Relationship Id="rId7" Type="http://schemas.openxmlformats.org/officeDocument/2006/relationships/hyperlink" Target="https://eur-lex.europa.eu/legal-content/EN/ALL/?uri=CELEX:52025DC0723" TargetMode="Externa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data.europa.eu/eli/reg/2024/1689/oj" TargetMode="External" /><Relationship Id="rId2" Type="http://schemas.openxmlformats.org/officeDocument/2006/relationships/hyperlink" Target="http://data.europa.eu/eli/dec/2018/994/oj"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10</Pages>
  <Words>3191</Words>
  <Characters>19537</Characters>
  <Application>Microsoft Office Word</Application>
  <DocSecurity>0</DocSecurity>
  <Lines>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PR_INI</dc:title>
  <dc:creator>e-Parliament@europarl.europa.eu</dc:creator>
  <cp:lastModifiedBy>e-Parliament@europarl.europa.eu</cp:lastModifiedBy>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EL</vt:lpwstr>
  </property>
  <property fmtid="{D5CDD505-2E9C-101B-9397-08002B2CF9AE}" pid="3" name="&lt;FdR&gt;">
    <vt:lpwstr>1330345</vt:lpwstr>
  </property>
  <property fmtid="{D5CDD505-2E9C-101B-9397-08002B2CF9AE}" pid="4" name="&lt;Model&gt;">
    <vt:lpwstr>PR_INI</vt:lpwstr>
  </property>
  <property fmtid="{D5CDD505-2E9C-101B-9397-08002B2CF9AE}" pid="5" name="&lt;Type&gt;">
    <vt:lpwstr>PR</vt:lpwstr>
  </property>
  <property fmtid="{D5CDD505-2E9C-101B-9397-08002B2CF9AE}" pid="6" name="dmxml.render.id">
    <vt:lpwstr>448746</vt:lpwstr>
  </property>
  <property fmtid="{D5CDD505-2E9C-101B-9397-08002B2CF9AE}" pid="7" name="dmxml.render.traceId">
    <vt:lpwstr>69dcf631a7a31eda4170a7b65d371ddc</vt:lpwstr>
  </property>
  <property fmtid="{D5CDD505-2E9C-101B-9397-08002B2CF9AE}" pid="8" name="FooterPath">
    <vt:lpwstr>PR\1330345EN.doc</vt:lpwstr>
  </property>
  <property fmtid="{D5CDD505-2E9C-101B-9397-08002B2CF9AE}" pid="9" name="PE Number">
    <vt:lpwstr>779.285</vt:lpwstr>
  </property>
  <property fmtid="{D5CDD505-2E9C-101B-9397-08002B2CF9AE}" pid="10" name="UID">
    <vt:lpwstr>eu.europa.europarl-DIN1-2026-0000067899_01.09-el-01.00_text-xml</vt:lpwstr>
  </property>
</Properties>
</file>